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E2A9">
      <w:pPr>
        <w:jc w:val="center"/>
        <w:rPr>
          <w:rFonts w:ascii="Calibri Light" w:hAnsi="Calibri Light"/>
          <w:b/>
          <w:bCs/>
          <w:kern w:val="0"/>
          <w:sz w:val="44"/>
          <w:szCs w:val="44"/>
        </w:rPr>
      </w:pPr>
      <w:r>
        <w:rPr>
          <w:rFonts w:hint="eastAsia" w:ascii="Calibri Light" w:hAnsi="Calibri Light"/>
          <w:b/>
          <w:bCs/>
          <w:kern w:val="0"/>
          <w:sz w:val="44"/>
          <w:szCs w:val="44"/>
          <w:lang w:val="en-US" w:eastAsia="zh-CN"/>
        </w:rPr>
        <w:t>项目参数要求</w:t>
      </w:r>
    </w:p>
    <w:p w14:paraId="27A3E2AA">
      <w:pPr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</w:p>
    <w:p w14:paraId="1D971537">
      <w:pPr>
        <w:numPr>
          <w:ilvl w:val="0"/>
          <w:numId w:val="0"/>
        </w:numPr>
        <w:rPr>
          <w:rFonts w:hint="eastAsia" w:cs="黑体" w:asciiTheme="minorEastAsia" w:hAnsiTheme="minorEastAsia" w:eastAsiaTheme="minorEastAsia"/>
          <w:b/>
          <w:sz w:val="10"/>
          <w:szCs w:val="10"/>
          <w:lang w:eastAsia="zh-CN"/>
        </w:rPr>
      </w:pPr>
    </w:p>
    <w:p w14:paraId="6B945402">
      <w:pPr>
        <w:numPr>
          <w:ilvl w:val="0"/>
          <w:numId w:val="0"/>
        </w:numP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</w:rPr>
        <w:t>、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会议室</w:t>
      </w:r>
      <w:r>
        <w:rPr>
          <w:rFonts w:asciiTheme="minorEastAsia" w:hAnsiTheme="minorEastAsia" w:eastAsiaTheme="minorEastAsia"/>
          <w:b/>
          <w:bCs w:val="0"/>
          <w:sz w:val="24"/>
          <w:szCs w:val="24"/>
        </w:rPr>
        <w:t>全彩</w:t>
      </w: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LE</w:t>
      </w:r>
      <w:r>
        <w:rPr>
          <w:rFonts w:asciiTheme="minorEastAsia" w:hAnsiTheme="minorEastAsia" w:eastAsiaTheme="minorEastAsia"/>
          <w:b/>
          <w:bCs w:val="0"/>
          <w:sz w:val="24"/>
          <w:szCs w:val="24"/>
        </w:rPr>
        <w:t>D</w:t>
      </w: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屏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  <w:t>（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完全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  <w:t>达到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或高于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  <w:t>以下要求）</w:t>
      </w:r>
    </w:p>
    <w:p w14:paraId="74D3EB10"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</w:p>
    <w:tbl>
      <w:tblPr>
        <w:tblStyle w:val="11"/>
        <w:tblW w:w="909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81"/>
        <w:gridCol w:w="7050"/>
      </w:tblGrid>
      <w:tr w14:paraId="27A3E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A3E2C9">
            <w:pPr>
              <w:widowControl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1" w:type="dxa"/>
            <w:vAlign w:val="center"/>
          </w:tcPr>
          <w:p w14:paraId="27A3E2CA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名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7050" w:type="dxa"/>
            <w:vAlign w:val="center"/>
          </w:tcPr>
          <w:p w14:paraId="27A3E2CB">
            <w:pPr>
              <w:widowControl/>
              <w:ind w:firstLine="2319" w:firstLineChars="1100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  <w:t>性能参数</w:t>
            </w:r>
          </w:p>
        </w:tc>
      </w:tr>
      <w:tr w14:paraId="27A3E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65" w:type="dxa"/>
            <w:vAlign w:val="center"/>
          </w:tcPr>
          <w:p w14:paraId="27A3E2D6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14:paraId="27A3E2DD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屏体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参数</w:t>
            </w:r>
          </w:p>
          <w:p w14:paraId="27A3E2DE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50" w:type="dxa"/>
          </w:tcPr>
          <w:tbl>
            <w:tblPr>
              <w:tblStyle w:val="11"/>
              <w:tblW w:w="6283" w:type="dxa"/>
              <w:tblInd w:w="-6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4123"/>
            </w:tblGrid>
            <w:tr w14:paraId="0E1D23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6A18B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整屏尺寸：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4A939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4900MM*2660MM</w:t>
                  </w:r>
                </w:p>
              </w:tc>
            </w:tr>
            <w:tr w14:paraId="78B008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1233A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安装方式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BCF19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贴墙</w:t>
                  </w: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  <w:t>安</w:t>
                  </w: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装</w:t>
                  </w:r>
                </w:p>
              </w:tc>
            </w:tr>
            <w:tr w14:paraId="30EA32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57384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cs="宋体" w:asciiTheme="minorEastAsia" w:hAnsiTheme="minorEastAsia" w:eastAsiaTheme="min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US" w:eastAsia="zh-CN"/>
                    </w:rPr>
                    <w:t>维护方式：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D8E76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 xml:space="preserve">完全前维护 </w:t>
                  </w:r>
                </w:p>
              </w:tc>
            </w:tr>
            <w:tr w14:paraId="66CF44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C3CE7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cs="宋体" w:eastAsia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US" w:eastAsia="zh-CN"/>
                    </w:rPr>
                    <w:t>模组</w:t>
                  </w: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单元板数量</w:t>
                  </w: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eastAsia="zh-CN"/>
                    </w:rPr>
                    <w:t>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9E115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240块</w:t>
                  </w:r>
                </w:p>
              </w:tc>
            </w:tr>
            <w:tr w14:paraId="325889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F8DE5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cs="宋体" w:eastAsia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显示分辨率(dots)</w:t>
                  </w: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eastAsia="zh-CN"/>
                    </w:rPr>
                    <w:t>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DA136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3072000</w:t>
                  </w:r>
                </w:p>
              </w:tc>
            </w:tr>
            <w:tr w14:paraId="6A6897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2957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像素点间距：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8838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≤2mm</w:t>
                  </w:r>
                </w:p>
              </w:tc>
            </w:tr>
            <w:tr w14:paraId="220FB4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5B28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电源：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6FD5A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41台</w:t>
                  </w:r>
                </w:p>
              </w:tc>
            </w:tr>
            <w:tr w14:paraId="460638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5F26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接收卡：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9AC32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30张</w:t>
                  </w:r>
                </w:p>
              </w:tc>
            </w:tr>
            <w:tr w14:paraId="0F1C46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54A4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维护备件：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14757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模组2张+电源1台+接收卡1张</w:t>
                  </w:r>
                </w:p>
              </w:tc>
            </w:tr>
            <w:tr w14:paraId="1923CE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99EF4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主框架：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F017F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钢铁结构+不锈钢包边</w:t>
                  </w:r>
                </w:p>
              </w:tc>
            </w:tr>
            <w:tr w14:paraId="2A6D72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740A9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亮度：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F5C29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≥450cd/㎡</w:t>
                  </w:r>
                </w:p>
              </w:tc>
            </w:tr>
            <w:tr w14:paraId="1DF5BF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3A5EF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亮度均匀性：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0F9F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＞0.95</w:t>
                  </w:r>
                </w:p>
              </w:tc>
            </w:tr>
            <w:tr w14:paraId="16802D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E9673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屏幕水平视角：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FCF63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170度</w:t>
                  </w:r>
                </w:p>
              </w:tc>
            </w:tr>
            <w:tr w14:paraId="3F5968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66B1C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屏幕垂直视角：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8EA60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140度</w:t>
                  </w:r>
                </w:p>
              </w:tc>
            </w:tr>
            <w:tr w14:paraId="40DF68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25A84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最佳视距：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D913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≥2m</w:t>
                  </w:r>
                </w:p>
              </w:tc>
            </w:tr>
            <w:tr w14:paraId="42B29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B1B50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最大功率：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E6978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≤5399W</w:t>
                  </w:r>
                </w:p>
              </w:tc>
            </w:tr>
            <w:tr w14:paraId="7B2E13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410B7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配电功率：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A3606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≤8155W</w:t>
                  </w:r>
                </w:p>
              </w:tc>
            </w:tr>
            <w:tr w14:paraId="63CF79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1771A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灰度等级：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5F3C3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红、绿、蓝各12-14bits</w:t>
                  </w:r>
                </w:p>
              </w:tc>
            </w:tr>
            <w:tr w14:paraId="309666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CB416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显示颜色：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1E56B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43980亿种</w:t>
                  </w:r>
                </w:p>
              </w:tc>
            </w:tr>
            <w:tr w14:paraId="3413D4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14C10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换帧频率：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E38F5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≥60帧/秒</w:t>
                  </w:r>
                </w:p>
              </w:tc>
            </w:tr>
            <w:tr w14:paraId="334868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07D88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刷新频率：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F845C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3840Hz</w:t>
                  </w:r>
                </w:p>
              </w:tc>
            </w:tr>
            <w:tr w14:paraId="1D51B3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B3ED2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控制方式：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B0933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计算机有线和无线控制，逐点一一对应，视频同步，实时显示</w:t>
                  </w:r>
                </w:p>
              </w:tc>
            </w:tr>
            <w:tr w14:paraId="7A10FF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7676C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亮度调节：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F84A3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256级手动/自动</w:t>
                  </w:r>
                </w:p>
              </w:tc>
            </w:tr>
            <w:tr w14:paraId="157895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0968C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输入信号：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A49EF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DVI/VGA/HDMI/DP、复合视频信号、S-VIDEO、YpbPr(HDTV)、无线输入</w:t>
                  </w:r>
                </w:p>
              </w:tc>
            </w:tr>
            <w:tr w14:paraId="478A59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EC37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使用寿命：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1A671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≥10万小时</w:t>
                  </w:r>
                </w:p>
              </w:tc>
            </w:tr>
            <w:tr w14:paraId="4CB54B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AE054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平均无故障时间：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75745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≥1万小时</w:t>
                  </w:r>
                </w:p>
              </w:tc>
            </w:tr>
            <w:tr w14:paraId="26B6F5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B8BA9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衰减率(工作3年)：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71752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≤15％</w:t>
                  </w:r>
                </w:p>
              </w:tc>
            </w:tr>
            <w:tr w14:paraId="19CE20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D7A33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连续失控点：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21F65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689218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605C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离散失控点：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08460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＜0.0001，出厂时为0</w:t>
                  </w:r>
                </w:p>
              </w:tc>
            </w:tr>
            <w:tr w14:paraId="26B623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06718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盲点率：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2F8F0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＜0.0003，出厂时为0</w:t>
                  </w:r>
                </w:p>
              </w:tc>
            </w:tr>
            <w:tr w14:paraId="75467B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4507D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工作温度范围：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96853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-20-40℃</w:t>
                  </w:r>
                </w:p>
              </w:tc>
            </w:tr>
            <w:tr w14:paraId="3733B2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AEE61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工作湿度范围：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10237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10％-65％RH(无结露)</w:t>
                  </w:r>
                </w:p>
              </w:tc>
            </w:tr>
            <w:tr w14:paraId="5DD882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B1DCC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防护性能：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2656E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超温/过载/掉电/图像补偿/各种校正技术/过流/过压/防雷(可选项)</w:t>
                  </w:r>
                </w:p>
              </w:tc>
            </w:tr>
            <w:tr w14:paraId="6FB723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40064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屏幕水平平整度：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4B26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＜1mm/㎡</w:t>
                  </w:r>
                </w:p>
              </w:tc>
            </w:tr>
            <w:tr w14:paraId="7D31D9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23C46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屏幕垂直平整度：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E600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＜1mm/㎡</w:t>
                  </w:r>
                </w:p>
              </w:tc>
            </w:tr>
          </w:tbl>
          <w:p w14:paraId="511D2AC2"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7A3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dxa"/>
            <w:vAlign w:val="center"/>
          </w:tcPr>
          <w:p w14:paraId="605DCB63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73D11E94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1B1141D9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62850426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3D6681D8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27A3E320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 w14:paraId="6842060C"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</w:pPr>
          </w:p>
          <w:p w14:paraId="55A54619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634E3CD6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44AE02B7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7EBF11C3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27A3E32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模组参数</w:t>
            </w:r>
          </w:p>
        </w:tc>
        <w:tc>
          <w:tcPr>
            <w:tcW w:w="7050" w:type="dxa"/>
            <w:vAlign w:val="center"/>
          </w:tcPr>
          <w:tbl>
            <w:tblPr>
              <w:tblStyle w:val="11"/>
              <w:tblW w:w="6325" w:type="dxa"/>
              <w:tblInd w:w="-10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9"/>
              <w:gridCol w:w="4086"/>
            </w:tblGrid>
            <w:tr w14:paraId="4FEAE1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7261A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像数点间距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22516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2mm</w:t>
                  </w:r>
                </w:p>
              </w:tc>
            </w:tr>
            <w:tr w14:paraId="140025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B3123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像素密度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68BDA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250000Dots/㎡</w:t>
                  </w:r>
                </w:p>
              </w:tc>
            </w:tr>
            <w:tr w14:paraId="574FD4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6F515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像素构成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53601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1R1G1B</w:t>
                  </w:r>
                </w:p>
              </w:tc>
            </w:tr>
            <w:tr w14:paraId="04CDF1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1E4B4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灯管封装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BDA91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SMD1515</w:t>
                  </w:r>
                </w:p>
              </w:tc>
            </w:tr>
            <w:tr w14:paraId="7C0176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BA5F5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尺寸(长*宽*厚)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6AEC6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320*160*14.5mm</w:t>
                  </w:r>
                </w:p>
              </w:tc>
            </w:tr>
            <w:tr w14:paraId="60E020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E9002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重量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9586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0.37kg±0.01kg</w:t>
                  </w:r>
                </w:p>
              </w:tc>
            </w:tr>
            <w:tr w14:paraId="13132F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37081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结构特点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C3558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灯驱合一</w:t>
                  </w:r>
                </w:p>
              </w:tc>
            </w:tr>
            <w:tr w14:paraId="1567F8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26A10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单元板分辨率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0FBA7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160*80=12800Dots</w:t>
                  </w:r>
                </w:p>
              </w:tc>
            </w:tr>
            <w:tr w14:paraId="5625D5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9284F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输入电压(直流)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19854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4.5±0.1V</w:t>
                  </w:r>
                </w:p>
              </w:tc>
            </w:tr>
            <w:tr w14:paraId="508E19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462F9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最大电流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7A3E9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≤5A</w:t>
                  </w:r>
                </w:p>
              </w:tc>
            </w:tr>
            <w:tr w14:paraId="29A770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C8898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单元板功率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4811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≤23W</w:t>
                  </w:r>
                </w:p>
              </w:tc>
            </w:tr>
            <w:tr w14:paraId="4880AE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9317E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驱动方式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05E9F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1/40恒流驱动</w:t>
                  </w:r>
                </w:p>
              </w:tc>
            </w:tr>
            <w:tr w14:paraId="39216D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673A1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刷新率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262BDF"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3840 Hz</w:t>
                  </w:r>
                </w:p>
              </w:tc>
            </w:tr>
            <w:tr w14:paraId="121E71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7478B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视网膜蓝光危害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64BC6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符合 GB/T 20145-2006 标准要求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蓝光危害加权辐亮度值(LB)≤100W·m-2·sr-1，</w:t>
                  </w:r>
                </w:p>
              </w:tc>
            </w:tr>
            <w:tr w14:paraId="6EB9B6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07981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40A电源带单元板数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78265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5-6张</w:t>
                  </w:r>
                </w:p>
              </w:tc>
            </w:tr>
            <w:tr w14:paraId="6DFE01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7C2F4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信号接口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3CDFB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HUB75E</w:t>
                  </w:r>
                </w:p>
              </w:tc>
            </w:tr>
            <w:tr w14:paraId="7692E3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AE976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RD1引脚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3C0E9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红色数据信号</w:t>
                  </w:r>
                </w:p>
              </w:tc>
            </w:tr>
            <w:tr w14:paraId="6DAA97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14BFC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GD1引脚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07431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绿色数据信号</w:t>
                  </w:r>
                </w:p>
              </w:tc>
            </w:tr>
            <w:tr w14:paraId="410092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5F19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BD1引脚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F520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蓝色数据信号</w:t>
                  </w:r>
                </w:p>
              </w:tc>
            </w:tr>
            <w:tr w14:paraId="17A414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B3BF9A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GND引脚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0AAC8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电源地</w:t>
                  </w:r>
                </w:p>
              </w:tc>
            </w:tr>
            <w:tr w14:paraId="61ADAA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79EB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RD2引脚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62DA9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红色数据信号</w:t>
                  </w:r>
                </w:p>
              </w:tc>
            </w:tr>
            <w:tr w14:paraId="4F8E95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685D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GD2引脚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A336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绿色数据信号</w:t>
                  </w:r>
                </w:p>
              </w:tc>
            </w:tr>
            <w:tr w14:paraId="3833B0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8AF66E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BD2引脚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0F30B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蓝色数据信号</w:t>
                  </w:r>
                </w:p>
              </w:tc>
            </w:tr>
            <w:tr w14:paraId="415821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F3AAC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0194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66B61D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D6CAF8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17138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165D2D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D331B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95A4D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4486FE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5D1F6B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4653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457BFB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D0C7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792A5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62E2B3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F9782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CLK引脚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5F19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时钟信号</w:t>
                  </w:r>
                </w:p>
              </w:tc>
            </w:tr>
            <w:tr w14:paraId="12212C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DC132C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LE引脚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0C6D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锁存信号</w:t>
                  </w:r>
                </w:p>
              </w:tc>
            </w:tr>
            <w:tr w14:paraId="3EA420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5AD86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OE引脚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AE35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使能信号</w:t>
                  </w:r>
                </w:p>
              </w:tc>
            </w:tr>
            <w:tr w14:paraId="670337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9310D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GND引脚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A17D3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电源地</w:t>
                  </w:r>
                </w:p>
              </w:tc>
            </w:tr>
          </w:tbl>
          <w:p w14:paraId="27A3E32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3DB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765" w:type="dxa"/>
            <w:vAlign w:val="center"/>
          </w:tcPr>
          <w:p w14:paraId="78F4B974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81" w:type="dxa"/>
            <w:vAlign w:val="center"/>
          </w:tcPr>
          <w:p w14:paraId="6D6FA236">
            <w:pPr>
              <w:jc w:val="center"/>
              <w:rPr>
                <w:rFonts w:hint="default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接收卡参数</w:t>
            </w:r>
          </w:p>
        </w:tc>
        <w:tc>
          <w:tcPr>
            <w:tcW w:w="7050" w:type="dxa"/>
            <w:vAlign w:val="center"/>
          </w:tcPr>
          <w:p w14:paraId="704769D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1.支持8bit色深视频源输入输出；</w:t>
            </w:r>
          </w:p>
          <w:p w14:paraId="089ADA40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2.支持8路HUB75接口，直连LED模组；</w:t>
            </w:r>
          </w:p>
          <w:p w14:paraId="5B38FF2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3.支持最多16组并行RGB全彩数据或32组串行RGB数据；</w:t>
            </w:r>
          </w:p>
          <w:p w14:paraId="64E3C0C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4.支持市场主流芯片最大带载192x1024；</w:t>
            </w:r>
          </w:p>
          <w:p w14:paraId="49DA7AB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5.支持任意抽点、任意抽行抽列；</w:t>
            </w:r>
          </w:p>
          <w:p w14:paraId="248BD90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6.支持箱体快速标定标序（全新固件）；</w:t>
            </w:r>
          </w:p>
          <w:p w14:paraId="4AD97E7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7.支持静态到128扫之间的任意扫描类型；</w:t>
            </w:r>
          </w:p>
          <w:p w14:paraId="51D7389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8.支持数据打折：水平2~8折、垂直2~4折；</w:t>
            </w:r>
          </w:p>
          <w:p w14:paraId="60669B5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9.支持高精度的色度、亮度一体化逐点校正；</w:t>
            </w:r>
          </w:p>
          <w:p w14:paraId="6B4B3647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10.支持数据组画面偏移，适用于简单异形屏；</w:t>
            </w:r>
          </w:p>
          <w:p w14:paraId="0B3F90E2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11.支持画面旋转90/180/270°（配合部分主控）；</w:t>
            </w:r>
          </w:p>
          <w:p w14:paraId="0E2955F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12.支持单组数据最大13312像素点以内任意走线；</w:t>
            </w:r>
          </w:p>
          <w:p w14:paraId="6772A4B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13.支持自适应帧率技术，可输出120Hz画面；</w:t>
            </w:r>
          </w:p>
          <w:p w14:paraId="73EE6952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14.支持低亮高灰，色温调节；</w:t>
            </w:r>
          </w:p>
          <w:p w14:paraId="51124D3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15.支持异形构造（特殊固件）</w:t>
            </w:r>
          </w:p>
          <w:p w14:paraId="2816FCE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16.支持环路备份、双机备份（配合主控）；</w:t>
            </w:r>
          </w:p>
          <w:p w14:paraId="3B3F75F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17.支持电源防反接设计；</w:t>
            </w:r>
          </w:p>
          <w:p w14:paraId="7175670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18.支持DC 3.8V~5.5V超宽工作电压；</w:t>
            </w:r>
          </w:p>
          <w:p w14:paraId="0AF7DE2E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19.支持卡莱特全系列常规发送设备。</w:t>
            </w:r>
          </w:p>
          <w:p w14:paraId="392F1F0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★接收卡通过GB 4943.1-2011检验标准，需提供具有CNAS、ilac-MRA认证标识的第三方检测报告，并加盖厂家鲜章。</w:t>
            </w:r>
          </w:p>
          <w:p w14:paraId="53F0E260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★为保证接收卡能够持久运行，需具有电击和能量危险的防护。</w:t>
            </w:r>
          </w:p>
          <w:p w14:paraId="0726358E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★接收卡支持3D显示功能。</w:t>
            </w:r>
          </w:p>
          <w:p w14:paraId="0B7AA163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★支持网线误码率侦测，数据包总数、错误包数， 协助检查网络质量，排除隐患。需提供具有CNAS、ilac-MRA认证标识的第三方检测报告，并加盖厂家鲜章。</w:t>
            </w:r>
          </w:p>
          <w:p w14:paraId="544C25F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★支持回读接收卡的固件程序、参数并保存到本地。</w:t>
            </w:r>
          </w:p>
          <w:p w14:paraId="668B96D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★支持低亮高灰，显示屏在降低亮度时能保持灰阶的完整无损失、完美显示，呈现低亮度高灰阶的显示效果。需提供具有CNAS、ilac-MRA认证标识的第三方检测报告，并加盖厂家鲜章。</w:t>
            </w:r>
          </w:p>
          <w:p w14:paraId="6B3A532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★支持环路备份，通过主备冗余机制增加接收卡串联的可靠性。主备串联线路中，当其中一条线路出现故障时，另一条线路会即时工作，保证显示屏正常工作。</w:t>
            </w:r>
          </w:p>
          <w:p w14:paraId="0F34D2B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★支持RGB Gamma 独立调节。修正颜色跳变及偏色，有效控制显示屏低灰不均匀、白平衡漂移等问题，使画面更加真实。</w:t>
            </w:r>
          </w:p>
        </w:tc>
      </w:tr>
      <w:tr w14:paraId="7DD80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BF2C1A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81" w:type="dxa"/>
            <w:vAlign w:val="center"/>
          </w:tcPr>
          <w:p w14:paraId="410B8EA1"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视频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器参数</w:t>
            </w:r>
          </w:p>
        </w:tc>
        <w:tc>
          <w:tcPr>
            <w:tcW w:w="7050" w:type="dxa"/>
            <w:vAlign w:val="center"/>
          </w:tcPr>
          <w:p w14:paraId="3FF6B8FE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LED视频控制器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一台</w:t>
            </w:r>
          </w:p>
          <w:p w14:paraId="3695AA7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1.采用1U标准机箱；</w:t>
            </w:r>
          </w:p>
          <w:p w14:paraId="692E029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2.具备液晶面板和功能快捷操作按钮；</w:t>
            </w:r>
          </w:p>
          <w:p w14:paraId="6BB2BD9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3.支持5路视频输入+1路U盘播放：2路HDMI1.4、1路DVI、1路VGA、1路CVBS；</w:t>
            </w:r>
          </w:p>
          <w:p w14:paraId="070FEF6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4.支持最大视频信号输入：1920×1080@60Hz；</w:t>
            </w:r>
          </w:p>
          <w:p w14:paraId="269C1D4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5.具备4路千兆网口输出，支持单机或双机冗余备份；</w:t>
            </w:r>
          </w:p>
          <w:p w14:paraId="65146A7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6.单台最大带载：260万像素点，最宽3840像素、或最高2000像素；</w:t>
            </w:r>
          </w:p>
          <w:p w14:paraId="5484CF8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7.支持USB2.0 Type B接口连接电脑进行参数调试；</w:t>
            </w:r>
          </w:p>
          <w:p w14:paraId="2C17E28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8.支持单画面视频源切换、裁剪、缩放；</w:t>
            </w:r>
          </w:p>
          <w:p w14:paraId="0EB1A307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9.支持亮度和色温调节；</w:t>
            </w:r>
          </w:p>
          <w:p w14:paraId="2FBF61B0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10支持画面调整：对比度、饱和度、色度、亮度补偿，锐度调整；</w:t>
            </w:r>
          </w:p>
          <w:p w14:paraId="2CCD92B2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11.支持HDMI、U盘解析音频输入，3.5mm独立音频输入输出；</w:t>
            </w:r>
          </w:p>
          <w:p w14:paraId="277C918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12.支持16个场景的预置保存和调用；</w:t>
            </w:r>
          </w:p>
          <w:p w14:paraId="31D35E5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13.支持信号源色彩动态范围"有限转完全"功能（16~235）；</w:t>
            </w:r>
          </w:p>
          <w:p w14:paraId="1EF71280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14.支持精确颜色管理，调整显示屏色域（需配特殊接收卡）</w:t>
            </w:r>
          </w:p>
          <w:p w14:paraId="2509E3F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15.支持音频高音、低音、平衡立体声音量大小和环绕声模式切换；</w:t>
            </w:r>
          </w:p>
          <w:p w14:paraId="2AFD7887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16.支持OSD遥控屏幕菜单控制图像、声音、设置等（选配遥控器）；</w:t>
            </w:r>
          </w:p>
          <w:p w14:paraId="061B2B00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17.支持RS232串口协议控制；</w:t>
            </w:r>
          </w:p>
          <w:p w14:paraId="0E248ECD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18.支持低亮高灰，有效保证低亮下灰阶完整显示；</w:t>
            </w:r>
          </w:p>
          <w:p w14:paraId="55301A6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19.支持HDCP1.4协议的高带宽数字内容保护技术；</w:t>
            </w:r>
          </w:p>
          <w:p w14:paraId="44D29120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20.支持23.98/24/25/29.97/30/50/59.94/60/100/120Hz输入帧率适应；</w:t>
            </w:r>
          </w:p>
          <w:p w14:paraId="6F33D87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21.支持实时监测屏体周边环境：自动亮度、温湿度等（选配多功能卡、传感器）</w:t>
            </w:r>
          </w:p>
          <w:p w14:paraId="4BE23677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22.支持卡莱特全系列常规接收卡和光纤收发器；</w:t>
            </w:r>
          </w:p>
          <w:p w14:paraId="7726B54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23.支持工作电压：AC100-240V，50/60Hz</w:t>
            </w:r>
          </w:p>
          <w:p w14:paraId="692B347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为确保控制系统的兼容性，提供控制系统关于控制器、接收卡同一品牌。 </w:t>
            </w:r>
          </w:p>
          <w:p w14:paraId="3556878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检验标准符合国家标准GB 4943.1-2022《音视频、信息技术和通信技术设备 第1部分：安全要求》（提供带CNAS/CMA/ilac-MRA认证标识的第三方检验报告复印件）</w:t>
            </w:r>
          </w:p>
          <w:p w14:paraId="5EFD9E7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能够持久运行，设备通过安全防护强度试验、电能量源的防护、机械能量源的防护、抗电强度试验、防火防护外壳以及设备标志、说明和指示性安全防护均检验合格。（提供带CNAS/CMA/ilac-MRA认证标识的第三方检验报告复印件）</w:t>
            </w:r>
          </w:p>
          <w:p w14:paraId="4867C25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为保证产品符合节能环保，设备支持通过多功能卡的配合实现自动亮度调节，根据环境照度的改变自动调节显示屏亮度。</w:t>
            </w:r>
          </w:p>
          <w:p w14:paraId="098DC35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为保证LED显示屏显现动态画面时黑色无暗亮的情况，设备支持有限转完全功能，可将输入的有限动态范围画面调整至全范围输出。</w:t>
            </w:r>
          </w:p>
          <w:p w14:paraId="07B414B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为保证产品接口及功能的合格性，设备具备音频功能检验、输出接口画面调节功能经检验支持调节亮度补偿、色调、饱和度、对比度；液晶面板显示功能。</w:t>
            </w:r>
          </w:p>
          <w:p w14:paraId="4BE5B74C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功能的全面性，设备支持广播级缩放、多种预置模式、接收卡参数实时回读、接收卡标定标序、控制器实时回传网口带载面积，支持亮度调节、色温调节、精确颜色管理、低亮高灰、U盘播放和OSD，支持高级修缝、相机校正等功能。（提供带CNAS/CMA/ilac-MRA认证标识的第三方检验报告复印件）</w:t>
            </w:r>
          </w:p>
          <w:p w14:paraId="736B7E45"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为保证HDMI或DVI传输信号不被非法录制，设备具备HDCP1.4高带宽数字内容保护技术。（提供带CNAS/CMA/ilac-MRA认证标识的第三方检验报告复印件）</w:t>
            </w:r>
          </w:p>
        </w:tc>
      </w:tr>
    </w:tbl>
    <w:p w14:paraId="27A3E327">
      <w:pPr>
        <w:rPr>
          <w:rFonts w:cs="黑体" w:asciiTheme="minorEastAsia" w:hAnsiTheme="minorEastAsia" w:eastAsiaTheme="minorEastAsia"/>
          <w:b/>
          <w:sz w:val="24"/>
          <w:szCs w:val="24"/>
        </w:rPr>
      </w:pPr>
    </w:p>
    <w:p w14:paraId="10E63CCA">
      <w:pPr>
        <w:rPr>
          <w:rFonts w:cs="黑体" w:asciiTheme="minorEastAsia" w:hAnsiTheme="minorEastAsia" w:eastAsiaTheme="minorEastAsia"/>
          <w:b/>
          <w:sz w:val="24"/>
          <w:szCs w:val="24"/>
        </w:rPr>
      </w:pPr>
    </w:p>
    <w:p w14:paraId="6FF7E26E">
      <w:pPr>
        <w:widowControl/>
        <w:numPr>
          <w:ilvl w:val="0"/>
          <w:numId w:val="0"/>
        </w:numPr>
        <w:jc w:val="left"/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二、门诊</w:t>
      </w:r>
      <w:r>
        <w:rPr>
          <w:rFonts w:asciiTheme="minorEastAsia" w:hAnsiTheme="minorEastAsia" w:eastAsiaTheme="minorEastAsia"/>
          <w:b/>
          <w:bCs w:val="0"/>
          <w:sz w:val="24"/>
          <w:szCs w:val="24"/>
        </w:rPr>
        <w:t>全彩</w:t>
      </w: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LE</w:t>
      </w:r>
      <w:r>
        <w:rPr>
          <w:rFonts w:asciiTheme="minorEastAsia" w:hAnsiTheme="minorEastAsia" w:eastAsiaTheme="minorEastAsia"/>
          <w:b/>
          <w:bCs w:val="0"/>
          <w:sz w:val="24"/>
          <w:szCs w:val="24"/>
        </w:rPr>
        <w:t>D</w:t>
      </w: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屏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  <w:t>（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完全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  <w:t>达到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或高于</w:t>
      </w: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eastAsia="zh-CN"/>
        </w:rPr>
        <w:t>以下要求）</w:t>
      </w:r>
    </w:p>
    <w:p w14:paraId="7AFEADEC">
      <w:pPr>
        <w:widowControl/>
        <w:numPr>
          <w:ilvl w:val="0"/>
          <w:numId w:val="0"/>
        </w:numPr>
        <w:jc w:val="left"/>
        <w:rPr>
          <w:rFonts w:cs="黑体" w:asciiTheme="minorEastAsia" w:hAnsiTheme="minorEastAsia" w:eastAsiaTheme="minorEastAsia"/>
          <w:b/>
          <w:sz w:val="24"/>
          <w:szCs w:val="24"/>
        </w:rPr>
      </w:pPr>
    </w:p>
    <w:tbl>
      <w:tblPr>
        <w:tblStyle w:val="11"/>
        <w:tblW w:w="906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91"/>
        <w:gridCol w:w="7010"/>
      </w:tblGrid>
      <w:tr w14:paraId="49AED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3EB547">
            <w:pPr>
              <w:widowControl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 w14:paraId="6EDD07CE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名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7010" w:type="dxa"/>
            <w:vAlign w:val="center"/>
          </w:tcPr>
          <w:p w14:paraId="7ECD5C24">
            <w:pPr>
              <w:widowControl/>
              <w:ind w:firstLine="2319" w:firstLineChars="1100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Cs w:val="21"/>
              </w:rPr>
              <w:t>性能参数</w:t>
            </w:r>
          </w:p>
        </w:tc>
      </w:tr>
      <w:tr w14:paraId="75942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65" w:type="dxa"/>
            <w:vAlign w:val="center"/>
          </w:tcPr>
          <w:p w14:paraId="327C7B5C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14:paraId="1A53F50E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屏体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参数</w:t>
            </w:r>
          </w:p>
          <w:p w14:paraId="231BABD0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10" w:type="dxa"/>
          </w:tcPr>
          <w:tbl>
            <w:tblPr>
              <w:tblStyle w:val="11"/>
              <w:tblW w:w="6283" w:type="dxa"/>
              <w:tblInd w:w="-17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4123"/>
            </w:tblGrid>
            <w:tr w14:paraId="66BD63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D2CE0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整屏尺寸：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AE2F32">
                  <w:pPr>
                    <w:pStyle w:val="22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10300MM*700MM</w:t>
                  </w:r>
                </w:p>
              </w:tc>
            </w:tr>
            <w:tr w14:paraId="4E3E74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0C2D7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安装方式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30C65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贴墙</w:t>
                  </w:r>
                  <w:r>
                    <w:rPr>
                      <w:rFonts w:hint="eastAsia" w:ascii="宋体" w:hAnsi="宋体" w:cs="宋体"/>
                      <w:bCs/>
                      <w:sz w:val="21"/>
                      <w:szCs w:val="21"/>
                      <w:lang w:val="en-US" w:eastAsia="zh-CN"/>
                    </w:rPr>
                    <w:t>吊装</w:t>
                  </w:r>
                </w:p>
              </w:tc>
            </w:tr>
            <w:tr w14:paraId="2EEA85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B8FFA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cs="宋体" w:asciiTheme="minorEastAsia" w:hAnsiTheme="minorEastAsia" w:eastAsiaTheme="min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US" w:eastAsia="zh-CN"/>
                    </w:rPr>
                    <w:t>维护方式：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A3889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 xml:space="preserve">完全前维护 </w:t>
                  </w:r>
                </w:p>
              </w:tc>
            </w:tr>
            <w:tr w14:paraId="4A6B8F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8F26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cs="宋体" w:eastAsia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US" w:eastAsia="zh-CN"/>
                    </w:rPr>
                    <w:t>模组</w:t>
                  </w: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单元板数量</w:t>
                  </w: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eastAsia="zh-CN"/>
                    </w:rPr>
                    <w:t>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4C3B6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128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块</w:t>
                  </w:r>
                </w:p>
              </w:tc>
            </w:tr>
            <w:tr w14:paraId="4D3B66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9FF0A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cs="宋体" w:eastAsia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显示分辨率(dots)</w:t>
                  </w: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eastAsia="zh-CN"/>
                    </w:rPr>
                    <w:t>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1FA5E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1638400</w:t>
                  </w:r>
                </w:p>
              </w:tc>
            </w:tr>
            <w:tr w14:paraId="65A6B2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FF848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像素点间距：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52DDB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≤2mm</w:t>
                  </w:r>
                </w:p>
              </w:tc>
            </w:tr>
            <w:tr w14:paraId="2704E2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8E9D0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电源：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D3106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 w14:paraId="3B35DB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CADE7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接收卡：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C1B2C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0张</w:t>
                  </w:r>
                </w:p>
              </w:tc>
            </w:tr>
            <w:tr w14:paraId="7B8D6C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7B484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主框架：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2FF9A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钢铁结构+不锈钢包边</w:t>
                  </w:r>
                </w:p>
              </w:tc>
            </w:tr>
            <w:tr w14:paraId="4DFEC5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A785D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亮度：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DB16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≥450cd/㎡</w:t>
                  </w:r>
                </w:p>
              </w:tc>
            </w:tr>
            <w:tr w14:paraId="5AB999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03D63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亮度均匀性：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B0835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＞0.95</w:t>
                  </w:r>
                </w:p>
              </w:tc>
            </w:tr>
            <w:tr w14:paraId="34E8AF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4B282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屏幕水平视角：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0741E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170度</w:t>
                  </w:r>
                </w:p>
              </w:tc>
            </w:tr>
            <w:tr w14:paraId="4F87E3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E4719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屏幕垂直视角：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69806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140度</w:t>
                  </w:r>
                </w:p>
              </w:tc>
            </w:tr>
            <w:tr w14:paraId="06D749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54BAF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最佳视距：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50CE4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≥2m</w:t>
                  </w:r>
                </w:p>
              </w:tc>
            </w:tr>
            <w:tr w14:paraId="49EE07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FF6F5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最大功率：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47F1C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2875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W</w:t>
                  </w:r>
                </w:p>
              </w:tc>
            </w:tr>
            <w:tr w14:paraId="669685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D36C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配电功率：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FD5B0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4343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W</w:t>
                  </w:r>
                </w:p>
              </w:tc>
            </w:tr>
            <w:tr w14:paraId="03A862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7619C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灰度等级：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A4D24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红、绿、蓝各12-14bits</w:t>
                  </w:r>
                </w:p>
              </w:tc>
            </w:tr>
            <w:tr w14:paraId="0FF2AE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6E94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显示颜色：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7CE5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43980亿种</w:t>
                  </w:r>
                </w:p>
              </w:tc>
            </w:tr>
            <w:tr w14:paraId="30704A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F6F3D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换帧频率：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09B81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≥60帧/秒</w:t>
                  </w:r>
                </w:p>
              </w:tc>
            </w:tr>
            <w:tr w14:paraId="1FF71A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C674E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刷新频率：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913C4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3840Hz</w:t>
                  </w:r>
                </w:p>
              </w:tc>
            </w:tr>
            <w:tr w14:paraId="2C9377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C7E3A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控制方式：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C623C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计算机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有线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控制，逐点一一对应，视频同步，实时显示</w:t>
                  </w:r>
                </w:p>
              </w:tc>
            </w:tr>
            <w:tr w14:paraId="5B74D7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3F0EE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亮度调节：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A65C9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256级手动/自动</w:t>
                  </w:r>
                </w:p>
              </w:tc>
            </w:tr>
            <w:tr w14:paraId="45F027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49A28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输入信号：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B3E6D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DVI/VGA/HDMI/DP、复合视频信号、S-VIDEO、YpbPr(HDTV)、无线输入</w:t>
                  </w:r>
                </w:p>
              </w:tc>
            </w:tr>
            <w:tr w14:paraId="474BA3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ABAD0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使用寿命：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D0E71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≥10万小时</w:t>
                  </w:r>
                </w:p>
              </w:tc>
            </w:tr>
            <w:tr w14:paraId="04A172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4973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平均无故障时间：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DEF5A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≥1万小时</w:t>
                  </w:r>
                </w:p>
              </w:tc>
            </w:tr>
            <w:tr w14:paraId="68A826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7E19C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衰减率(工作3年)：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DC390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≤15％</w:t>
                  </w:r>
                </w:p>
              </w:tc>
            </w:tr>
            <w:tr w14:paraId="41EB45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9DDF9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连续失控点：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32665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5E88A7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44A9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离散失控点：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61589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＜0.0001，出厂时为0</w:t>
                  </w:r>
                </w:p>
              </w:tc>
            </w:tr>
            <w:tr w14:paraId="3C77BC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7826B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盲点率：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58B30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＜0.0003，出厂时为0</w:t>
                  </w:r>
                </w:p>
              </w:tc>
            </w:tr>
            <w:tr w14:paraId="3F8012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20A57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工作温度范围：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00DEE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-20-40℃</w:t>
                  </w:r>
                </w:p>
              </w:tc>
            </w:tr>
            <w:tr w14:paraId="642945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E7317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工作湿度范围：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13AA0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10％-65％RH(无结露)</w:t>
                  </w:r>
                </w:p>
              </w:tc>
            </w:tr>
            <w:tr w14:paraId="1E624A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BDBF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防护性能：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12682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超温/过载/掉电/图像补偿/各种校正技术/过流/过压/防雷(可选项)</w:t>
                  </w:r>
                </w:p>
              </w:tc>
            </w:tr>
            <w:tr w14:paraId="310BC7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28931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屏幕水平平整度：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E753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＜1mm/㎡</w:t>
                  </w:r>
                </w:p>
              </w:tc>
            </w:tr>
            <w:tr w14:paraId="597ED0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E907B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屏幕垂直平整度：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1DD19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＜1mm/㎡</w:t>
                  </w:r>
                </w:p>
              </w:tc>
            </w:tr>
          </w:tbl>
          <w:p w14:paraId="65F4B297"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F7DC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5" w:type="dxa"/>
            <w:vAlign w:val="center"/>
          </w:tcPr>
          <w:p w14:paraId="32D55ABD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50B5A44F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605BA3C3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76C97293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7C35B905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 w14:paraId="0E2A4771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91" w:type="dxa"/>
            <w:vAlign w:val="center"/>
          </w:tcPr>
          <w:p w14:paraId="5800DE64"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</w:pPr>
          </w:p>
          <w:p w14:paraId="7AAAD3AC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02F23215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567CC658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44BB7F22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</w:p>
          <w:p w14:paraId="2FC452E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模组参数</w:t>
            </w:r>
          </w:p>
        </w:tc>
        <w:tc>
          <w:tcPr>
            <w:tcW w:w="7010" w:type="dxa"/>
            <w:vAlign w:val="center"/>
          </w:tcPr>
          <w:tbl>
            <w:tblPr>
              <w:tblStyle w:val="11"/>
              <w:tblW w:w="6325" w:type="dxa"/>
              <w:tblInd w:w="-2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9"/>
              <w:gridCol w:w="4086"/>
            </w:tblGrid>
            <w:tr w14:paraId="2BD9C6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AC40A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像数点间距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81CB2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2mm</w:t>
                  </w:r>
                </w:p>
              </w:tc>
            </w:tr>
            <w:tr w14:paraId="3C9D85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AF720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像素密度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E8DBA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250000Dots/㎡</w:t>
                  </w:r>
                </w:p>
              </w:tc>
            </w:tr>
            <w:tr w14:paraId="373D70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129FB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像素构成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656CB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1R1G1B</w:t>
                  </w:r>
                </w:p>
              </w:tc>
            </w:tr>
            <w:tr w14:paraId="79BB32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F3893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灯管封装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9F0EB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SMD1515</w:t>
                  </w:r>
                </w:p>
              </w:tc>
            </w:tr>
            <w:tr w14:paraId="52B340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260C5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尺寸(长*宽*厚)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6A06A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320*160*14.5mm</w:t>
                  </w:r>
                </w:p>
              </w:tc>
            </w:tr>
            <w:tr w14:paraId="6B7D8D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6727E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重量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FA8ED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0.37kg±0.01kg</w:t>
                  </w:r>
                </w:p>
              </w:tc>
            </w:tr>
            <w:tr w14:paraId="43DFFB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2A6E2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结构特点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06EC7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灯驱合一</w:t>
                  </w:r>
                </w:p>
              </w:tc>
            </w:tr>
            <w:tr w14:paraId="7AC66D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49E67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单元板分辨率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D8F93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160*80=12800Dots</w:t>
                  </w:r>
                </w:p>
              </w:tc>
            </w:tr>
            <w:tr w14:paraId="0DD854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1527C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输入电压(直流)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41EE3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4.5±0.1V</w:t>
                  </w:r>
                </w:p>
              </w:tc>
            </w:tr>
            <w:tr w14:paraId="447C46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9008A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最大电流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071CE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≤5A</w:t>
                  </w:r>
                </w:p>
              </w:tc>
            </w:tr>
            <w:tr w14:paraId="31F84D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7AAD9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单元板功率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BEC3F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≤23W</w:t>
                  </w:r>
                </w:p>
              </w:tc>
            </w:tr>
            <w:tr w14:paraId="1442C7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BD54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驱动方式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04244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1/40恒流驱动</w:t>
                  </w:r>
                </w:p>
              </w:tc>
            </w:tr>
            <w:tr w14:paraId="671F6A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A8A35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刷新率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42A385"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3840 Hz</w:t>
                  </w:r>
                </w:p>
              </w:tc>
            </w:tr>
            <w:tr w14:paraId="588FB5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224E3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视网膜蓝光危害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AE1FB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符合 GB/T 20145-2006 标准要求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蓝光危害加权辐亮度值(LB)≤100W·m-2·sr-1，</w:t>
                  </w:r>
                </w:p>
              </w:tc>
            </w:tr>
            <w:tr w14:paraId="466A9F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2618A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40A电源带单元板数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A52AC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5-6张</w:t>
                  </w:r>
                </w:p>
              </w:tc>
            </w:tr>
            <w:tr w14:paraId="42BB33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E0B1A2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信号接口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03FB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HUB75E</w:t>
                  </w:r>
                </w:p>
              </w:tc>
            </w:tr>
            <w:tr w14:paraId="7B9043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E60E75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RD1引脚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C6AD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红色数据信号</w:t>
                  </w:r>
                </w:p>
              </w:tc>
            </w:tr>
            <w:tr w14:paraId="3F2CBE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A7336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GD1引脚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9F82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绿色数据信号</w:t>
                  </w:r>
                </w:p>
              </w:tc>
            </w:tr>
            <w:tr w14:paraId="73CD1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F42AA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BD1引脚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1572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蓝色数据信号</w:t>
                  </w:r>
                </w:p>
              </w:tc>
            </w:tr>
            <w:tr w14:paraId="7FC4C5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9158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GND引脚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36A6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电源地</w:t>
                  </w:r>
                </w:p>
              </w:tc>
            </w:tr>
            <w:tr w14:paraId="65BAD3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4A36C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RD2引脚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9474D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红色数据信号</w:t>
                  </w:r>
                </w:p>
              </w:tc>
            </w:tr>
            <w:tr w14:paraId="2D4649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1161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GD2引脚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821DD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绿色数据信号</w:t>
                  </w:r>
                </w:p>
              </w:tc>
            </w:tr>
            <w:tr w14:paraId="3043A1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F781B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BD2引脚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8B50A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蓝色数据信号</w:t>
                  </w:r>
                </w:p>
              </w:tc>
            </w:tr>
            <w:tr w14:paraId="608259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58E30A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B993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723874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7C52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C2E7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7AB580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FFEF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404A5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27310F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E24B63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19903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3992B3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7AA44B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BA1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行控制信号</w:t>
                  </w:r>
                </w:p>
              </w:tc>
            </w:tr>
            <w:tr w14:paraId="097E52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39C42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CLK引脚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0544B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时钟信号</w:t>
                  </w:r>
                </w:p>
              </w:tc>
            </w:tr>
            <w:tr w14:paraId="5222A1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59109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LE引脚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596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锁存信号</w:t>
                  </w:r>
                </w:p>
              </w:tc>
            </w:tr>
            <w:tr w14:paraId="6FDFFA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239D0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OE引脚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47C70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使能信号</w:t>
                  </w:r>
                </w:p>
              </w:tc>
            </w:tr>
            <w:tr w14:paraId="2849D1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CCAEA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GND引脚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B638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电源地</w:t>
                  </w:r>
                </w:p>
              </w:tc>
            </w:tr>
          </w:tbl>
          <w:p w14:paraId="2024B2E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89D2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765" w:type="dxa"/>
            <w:vAlign w:val="center"/>
          </w:tcPr>
          <w:p w14:paraId="4B03012C">
            <w:pPr>
              <w:widowControl/>
              <w:jc w:val="center"/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91" w:type="dxa"/>
            <w:vAlign w:val="center"/>
          </w:tcPr>
          <w:p w14:paraId="46156D66">
            <w:pPr>
              <w:jc w:val="center"/>
              <w:rPr>
                <w:rFonts w:hint="default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接收卡参数</w:t>
            </w:r>
          </w:p>
        </w:tc>
        <w:tc>
          <w:tcPr>
            <w:tcW w:w="7010" w:type="dxa"/>
            <w:vAlign w:val="center"/>
          </w:tcPr>
          <w:p w14:paraId="2CC654B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1.支持8bit色深视频源输入输出；</w:t>
            </w:r>
          </w:p>
          <w:p w14:paraId="24B7088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2.支持8路HUB75接口，直连LED模组；</w:t>
            </w:r>
          </w:p>
          <w:p w14:paraId="0AEECCA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3.支持最多16组并行RGB全彩数据或32组串行RGB数据；</w:t>
            </w:r>
          </w:p>
          <w:p w14:paraId="35384C8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4.支持市场主流芯片最大带载192x1024；</w:t>
            </w:r>
          </w:p>
          <w:p w14:paraId="319D98F7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5.支持任意抽点、任意抽行抽列；</w:t>
            </w:r>
          </w:p>
          <w:p w14:paraId="5385DDF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6.支持箱体快速标定标序（全新固件）；</w:t>
            </w:r>
          </w:p>
          <w:p w14:paraId="31E0B03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7.支持静态到128扫之间的任意扫描类型；</w:t>
            </w:r>
          </w:p>
          <w:p w14:paraId="04EDEC4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8.支持数据打折：水平2~8折、垂直2~4折；</w:t>
            </w:r>
          </w:p>
          <w:p w14:paraId="1A0EAC1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9.支持高精度的色度、亮度一体化逐点校正；</w:t>
            </w:r>
          </w:p>
          <w:p w14:paraId="3E39F67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10.支持数据组画面偏移，适用于简单异形屏；</w:t>
            </w:r>
          </w:p>
          <w:p w14:paraId="677ACE6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11.支持画面旋转90/180/270°（配合部分主控）；</w:t>
            </w:r>
          </w:p>
          <w:p w14:paraId="0C1813F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12.支持单组数据最大13312像素点以内任意走线；</w:t>
            </w:r>
          </w:p>
          <w:p w14:paraId="597772BD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13.支持自适应帧率技术，可输出120Hz画面；</w:t>
            </w:r>
          </w:p>
          <w:p w14:paraId="7B51A56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14.支持低亮高灰，色温调节；</w:t>
            </w:r>
          </w:p>
          <w:p w14:paraId="1372783C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15.支持异形构造（特殊固件）</w:t>
            </w:r>
          </w:p>
          <w:p w14:paraId="07C68D62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16.支持环路备份、双机备份（配合主控）；</w:t>
            </w:r>
          </w:p>
          <w:p w14:paraId="03BD85D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17.支持电源防反接设计；</w:t>
            </w:r>
          </w:p>
          <w:p w14:paraId="18364BC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18.支持DC 3.8V~5.5V超宽工作电压；</w:t>
            </w:r>
          </w:p>
          <w:p w14:paraId="1F13C123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19.支持卡莱特全系列常规发送设备。</w:t>
            </w:r>
          </w:p>
          <w:p w14:paraId="7585434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★接收卡通过GB 4943.1-2011检验标准，需提供具有CNAS、ilac-MRA认证标识的第三方检测报告，并加盖厂家鲜章。</w:t>
            </w:r>
          </w:p>
          <w:p w14:paraId="02E8EAD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★为保证接收卡能够持久运行，需具有电击和能量危险的防护。</w:t>
            </w:r>
          </w:p>
          <w:p w14:paraId="47406A2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★接收卡支持3D显示功能。</w:t>
            </w:r>
          </w:p>
          <w:p w14:paraId="3AB55A53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★支持网线误码率侦测，数据包总数、错误包数， 协助检查网络质量，排除隐患。需提供具有CNAS、ilac-MRA认证标识的第三方检测报告，并加盖厂家鲜章。</w:t>
            </w:r>
          </w:p>
          <w:p w14:paraId="47C41553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★支持回读接收卡的固件程序、参数并保存到本地。</w:t>
            </w:r>
          </w:p>
          <w:p w14:paraId="17609BD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★支持低亮高灰，显示屏在降低亮度时能保持灰阶的完整无损失、完美显示，呈现低亮度高灰阶的显示效果。需提供具有CNAS、ilac-MRA认证标识的第三方检测报告，并加盖厂家鲜章。</w:t>
            </w:r>
          </w:p>
          <w:p w14:paraId="668C2424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★支持环路备份，通过主备冗余机制增加接收卡串联的可靠性。主备串联线路中，当其中一条线路出现故障时，另一条线路会即时工作，保证显示屏正常工作。</w:t>
            </w:r>
          </w:p>
          <w:p w14:paraId="4370B7BC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★支持RGB Gamma 独立调节。修正颜色跳变及偏色，有效控制显示屏低灰不均匀、白平衡漂移等问题，使画面更加真实。</w:t>
            </w:r>
          </w:p>
        </w:tc>
      </w:tr>
      <w:tr w14:paraId="5CB8B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86F73F">
            <w:pPr>
              <w:widowControl/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91" w:type="dxa"/>
            <w:vAlign w:val="center"/>
          </w:tcPr>
          <w:p w14:paraId="592D3B58"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视频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Cs w:val="21"/>
              </w:rPr>
              <w:t>器参数</w:t>
            </w:r>
          </w:p>
        </w:tc>
        <w:tc>
          <w:tcPr>
            <w:tcW w:w="7010" w:type="dxa"/>
            <w:vAlign w:val="center"/>
          </w:tcPr>
          <w:p w14:paraId="35EA1FFF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LED视频控制器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六台</w:t>
            </w:r>
          </w:p>
          <w:p w14:paraId="30CC2717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1.采用1U标准机箱；</w:t>
            </w:r>
          </w:p>
          <w:p w14:paraId="0745A99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2.具备液晶面板和功能快捷操作按钮；</w:t>
            </w:r>
          </w:p>
          <w:p w14:paraId="5E04515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3.支持5路视频输入+1路U盘播放：2路HDMI1.4、1路DVI、1路VGA、1路CVBS；</w:t>
            </w:r>
          </w:p>
          <w:p w14:paraId="4BACE21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4.支持最大视频信号输入：1920×1080@60Hz；</w:t>
            </w:r>
          </w:p>
          <w:p w14:paraId="310419F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5.具备2路千兆网口输出，支持单机或双机冗余备份；</w:t>
            </w:r>
          </w:p>
          <w:p w14:paraId="704EB41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6.单台最大带载：130万像素点，最宽3840像素、或最高2000像素；</w:t>
            </w:r>
          </w:p>
          <w:p w14:paraId="1412CC7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7.支持USB2.0 Type B接口连接电脑进行参数调试；</w:t>
            </w:r>
          </w:p>
          <w:p w14:paraId="2F13393C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8.支持单画面视频源切换、裁剪、缩放；</w:t>
            </w:r>
          </w:p>
          <w:p w14:paraId="64C80E6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9.支持亮度和色温调节；</w:t>
            </w:r>
          </w:p>
          <w:p w14:paraId="0F8FA2C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10支持画面调整：对比度、饱和度、色度、亮度补偿，锐度调整；</w:t>
            </w:r>
          </w:p>
          <w:p w14:paraId="71B7083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11.支持HDMI、U盘解析音频输入，3.5mm独立音频输入输出；</w:t>
            </w:r>
          </w:p>
          <w:p w14:paraId="57B03ED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12.支持16个场景的预置保存和调用；</w:t>
            </w:r>
          </w:p>
          <w:p w14:paraId="47D6F23A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13.支持信号源色彩动态范围"有限转完全"功能（16~235）；</w:t>
            </w:r>
          </w:p>
          <w:p w14:paraId="53F2350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14.支持精确颜色管理，调整显示屏色域（需配特殊接收卡）</w:t>
            </w:r>
          </w:p>
          <w:p w14:paraId="6F7ADB2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15.支持音频高音、低音、平衡立体声音量大小和环绕声模式切换；</w:t>
            </w:r>
          </w:p>
          <w:p w14:paraId="1C895E3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16.支持OSD遥控屏幕菜单控制图像、声音、设置等（选配遥控器）；</w:t>
            </w:r>
          </w:p>
          <w:p w14:paraId="54EA972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17.支持RS232串口协议控制；</w:t>
            </w:r>
          </w:p>
          <w:p w14:paraId="1C46501B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18.支持低亮高灰，有效保证低亮下灰阶完整显示；</w:t>
            </w:r>
          </w:p>
          <w:p w14:paraId="3E23199D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19.支持HDCP1.4协议的高带宽数字内容保护技术；</w:t>
            </w:r>
          </w:p>
          <w:p w14:paraId="1471930F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20.支持23.98/24/25/29.97/30/50/59.94/60/100/120Hz输入帧率适应；</w:t>
            </w:r>
          </w:p>
          <w:p w14:paraId="4D16DDB6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21.支持实时监测屏体周边环境：自动亮度、温湿度等（选配多功能卡、传感器）</w:t>
            </w:r>
          </w:p>
          <w:p w14:paraId="206F2B7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22.支持卡莱特全系列常规接收卡和光纤收发器；</w:t>
            </w:r>
          </w:p>
          <w:p w14:paraId="18B1CD5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23.支持工作电压：AC100-240V，50/60Hz</w:t>
            </w:r>
          </w:p>
          <w:p w14:paraId="4AEFFD4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为确保控制系统的兼容性，提供控制系统关于控制器、接收卡同一品牌。 </w:t>
            </w:r>
          </w:p>
          <w:p w14:paraId="0DB19105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检验标准符合国家标准GB 4943.1-2022《音视频、信息技术和通信技术设备 第1部分：安全要求》（提供带CNAS/CMA/ilac-MRA认证标识的第三方检验报告复印件）</w:t>
            </w:r>
          </w:p>
          <w:p w14:paraId="5DBC77C8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能够持久运行，设备通过安全防护强度试验、电能量源的防护、机械能量源的防护、抗电强度试验、防火防护外壳以及设备标志、说明和指示性安全防护均检验合格。（提供带CNAS/CMA/ilac-MRA认证标识的第三方检验报告复印件）</w:t>
            </w:r>
          </w:p>
          <w:p w14:paraId="1A7AA06E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为保证产品符合节能环保，设备支持通过多功能卡的配合实现自动亮度调节，根据环境照度的改变自动调节显示屏亮度。</w:t>
            </w:r>
          </w:p>
          <w:p w14:paraId="32FD07A9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为保证LED显示屏显现动态画面时黑色无暗亮的情况，设备支持有限转完全功能，可将输入的有限动态范围画面调整至全范围输出。</w:t>
            </w:r>
          </w:p>
          <w:p w14:paraId="64A1BAB1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为保证产品接口及功能的合格性，设备具备音频功能检验、输出接口画面调节功能经检验支持调节亮度补偿、色调、饱和度、对比度；液晶面板显示功能。</w:t>
            </w:r>
          </w:p>
          <w:p w14:paraId="0A98608C"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产品功能的全面性，设备支持广播级缩放、多种预置模式、接收卡参数实时回读、接收卡标定标序、控制器实时回传网口带载面积，支持亮度调节、色温调节、精确颜色管理、低亮高灰、U盘播放和OSD，支持高级修缝、相机校正等功能。</w:t>
            </w:r>
          </w:p>
          <w:p w14:paraId="4CF68D1E"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★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为保证HDMI或DVI传输信号不被非法录制，设备具备HDCP1.4高带宽数字内容保护技术。</w:t>
            </w:r>
          </w:p>
        </w:tc>
      </w:tr>
    </w:tbl>
    <w:p w14:paraId="62552D9E">
      <w:pPr>
        <w:widowControl/>
        <w:numPr>
          <w:ilvl w:val="0"/>
          <w:numId w:val="0"/>
        </w:numPr>
        <w:jc w:val="left"/>
        <w:rPr>
          <w:rFonts w:cs="黑体" w:asciiTheme="minorEastAsia" w:hAnsiTheme="minorEastAsia" w:eastAsiaTheme="minorEastAsia"/>
          <w:b/>
          <w:sz w:val="24"/>
          <w:szCs w:val="24"/>
        </w:rPr>
      </w:pPr>
    </w:p>
    <w:p w14:paraId="259EF75E">
      <w:pPr>
        <w:widowControl/>
        <w:numPr>
          <w:ilvl w:val="0"/>
          <w:numId w:val="0"/>
        </w:numPr>
        <w:jc w:val="left"/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三、商务要求</w:t>
      </w:r>
    </w:p>
    <w:p w14:paraId="47D58654">
      <w:pPr>
        <w:ind w:firstLine="529" w:firstLineChars="189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提供3年电话支持响应服务，接到电话通知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小时响应，2小时内到达现场解决问题，4小时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内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恢复故障，否则必须提供不低于原来档次的代用机件，以保障我单位的工作正常开展。如有重大活动并提供开始之前的24小时内到位，并对设备进行全面的检查和保养。</w:t>
      </w:r>
    </w:p>
    <w:p w14:paraId="2F3F1EEE">
      <w:pPr>
        <w:ind w:firstLine="529" w:firstLineChars="189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2、供应商须具有完善的物流管理体系和售后服务保障体系（包含但不限于：及时响应、及时送货、保修等所有产品及零件质保期为三年。提供免费技术咨询；免费软件升级；质保与延保期满后提供专业人员的现场服务合理的价格提供备件，免人工费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 w14:paraId="76059517">
      <w:pPr>
        <w:widowControl/>
        <w:numPr>
          <w:ilvl w:val="0"/>
          <w:numId w:val="0"/>
        </w:numPr>
        <w:jc w:val="left"/>
        <w:rPr>
          <w:rFonts w:hint="default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四、现场图片</w:t>
      </w:r>
    </w:p>
    <w:p w14:paraId="24145D39">
      <w:pPr>
        <w:pStyle w:val="2"/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 w14:paraId="40A16FAB"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63C3904E">
      <w:pPr>
        <w:pStyle w:val="16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3340" cy="2304415"/>
            <wp:effectExtent l="0" t="0" r="10160" b="6985"/>
            <wp:docPr id="1" name="图片 1" descr="a0479c56bba681d762cbbdf51fa9d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479c56bba681d762cbbdf51fa9dd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AFCD">
      <w:pPr>
        <w:pStyle w:val="16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Cs w:val="24"/>
          <w:lang w:val="en-US" w:eastAsia="zh-CN"/>
        </w:rPr>
        <w:t>行政多功能会议室升级改造重新装修</w:t>
      </w:r>
    </w:p>
    <w:p w14:paraId="04F24765">
      <w:pPr>
        <w:pStyle w:val="16"/>
        <w:rPr>
          <w:rFonts w:hint="eastAsia" w:eastAsiaTheme="minorEastAsia"/>
          <w:lang w:eastAsia="zh-CN"/>
        </w:rPr>
      </w:pPr>
    </w:p>
    <w:p w14:paraId="6DBC06EA">
      <w:pPr>
        <w:pStyle w:val="16"/>
        <w:rPr>
          <w:rFonts w:hint="eastAsia" w:eastAsiaTheme="minorEastAsia"/>
          <w:lang w:eastAsia="zh-CN"/>
        </w:rPr>
      </w:pPr>
    </w:p>
    <w:p w14:paraId="57AA7F06">
      <w:pPr>
        <w:pStyle w:val="16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39540" cy="2479675"/>
            <wp:effectExtent l="0" t="0" r="3810" b="15875"/>
            <wp:docPr id="2" name="图片 2" descr="05e87c16-0615-4ce0-814c-ecbef01cd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e87c16-0615-4ce0-814c-ecbef01cd0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1B0C">
      <w:pPr>
        <w:pStyle w:val="16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西药房窗口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3E3B2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7A3E3B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21"/>
    <w:rsid w:val="0000089E"/>
    <w:rsid w:val="00012771"/>
    <w:rsid w:val="0001353C"/>
    <w:rsid w:val="00016220"/>
    <w:rsid w:val="00017AAD"/>
    <w:rsid w:val="000258DD"/>
    <w:rsid w:val="00030324"/>
    <w:rsid w:val="00031917"/>
    <w:rsid w:val="00036126"/>
    <w:rsid w:val="00057690"/>
    <w:rsid w:val="00065721"/>
    <w:rsid w:val="00072E81"/>
    <w:rsid w:val="00083C45"/>
    <w:rsid w:val="00083CFE"/>
    <w:rsid w:val="000B673D"/>
    <w:rsid w:val="000D72F3"/>
    <w:rsid w:val="000F353A"/>
    <w:rsid w:val="001022DE"/>
    <w:rsid w:val="00110C12"/>
    <w:rsid w:val="00127D59"/>
    <w:rsid w:val="001405A9"/>
    <w:rsid w:val="001505E6"/>
    <w:rsid w:val="00151BF4"/>
    <w:rsid w:val="001548DF"/>
    <w:rsid w:val="0018375A"/>
    <w:rsid w:val="001A318C"/>
    <w:rsid w:val="001A4788"/>
    <w:rsid w:val="001B7F1F"/>
    <w:rsid w:val="001E3F4C"/>
    <w:rsid w:val="001F6F34"/>
    <w:rsid w:val="0020102A"/>
    <w:rsid w:val="002119F3"/>
    <w:rsid w:val="00212912"/>
    <w:rsid w:val="00215777"/>
    <w:rsid w:val="00216AC3"/>
    <w:rsid w:val="0022163B"/>
    <w:rsid w:val="002220AE"/>
    <w:rsid w:val="00253474"/>
    <w:rsid w:val="00254146"/>
    <w:rsid w:val="002A2FBA"/>
    <w:rsid w:val="002A4FA8"/>
    <w:rsid w:val="002A5B81"/>
    <w:rsid w:val="002A6D62"/>
    <w:rsid w:val="002D5752"/>
    <w:rsid w:val="002D7404"/>
    <w:rsid w:val="00303B5C"/>
    <w:rsid w:val="003147F3"/>
    <w:rsid w:val="00330654"/>
    <w:rsid w:val="003334A3"/>
    <w:rsid w:val="003408CF"/>
    <w:rsid w:val="00362A2B"/>
    <w:rsid w:val="003A25C8"/>
    <w:rsid w:val="003E5434"/>
    <w:rsid w:val="004017CB"/>
    <w:rsid w:val="00403834"/>
    <w:rsid w:val="004075DF"/>
    <w:rsid w:val="004129A4"/>
    <w:rsid w:val="00440633"/>
    <w:rsid w:val="00452D48"/>
    <w:rsid w:val="00465E5E"/>
    <w:rsid w:val="0047184E"/>
    <w:rsid w:val="00472557"/>
    <w:rsid w:val="00497C39"/>
    <w:rsid w:val="004B520D"/>
    <w:rsid w:val="004C0492"/>
    <w:rsid w:val="004C11F4"/>
    <w:rsid w:val="004C6F55"/>
    <w:rsid w:val="004D25A2"/>
    <w:rsid w:val="004E2001"/>
    <w:rsid w:val="004E2ACB"/>
    <w:rsid w:val="004E6788"/>
    <w:rsid w:val="00502CFE"/>
    <w:rsid w:val="0050384F"/>
    <w:rsid w:val="00520675"/>
    <w:rsid w:val="005234F8"/>
    <w:rsid w:val="00533B5B"/>
    <w:rsid w:val="00540C84"/>
    <w:rsid w:val="00541D35"/>
    <w:rsid w:val="005466C9"/>
    <w:rsid w:val="00555F9F"/>
    <w:rsid w:val="005657EE"/>
    <w:rsid w:val="005A00B3"/>
    <w:rsid w:val="005B20F0"/>
    <w:rsid w:val="005D0B7B"/>
    <w:rsid w:val="005D208C"/>
    <w:rsid w:val="005E15AA"/>
    <w:rsid w:val="005E561A"/>
    <w:rsid w:val="00604EF9"/>
    <w:rsid w:val="00621330"/>
    <w:rsid w:val="00626BA2"/>
    <w:rsid w:val="006304B0"/>
    <w:rsid w:val="00656DB2"/>
    <w:rsid w:val="006704A5"/>
    <w:rsid w:val="00682BDF"/>
    <w:rsid w:val="00683CAE"/>
    <w:rsid w:val="006917D6"/>
    <w:rsid w:val="00694069"/>
    <w:rsid w:val="006A341B"/>
    <w:rsid w:val="006A6274"/>
    <w:rsid w:val="006E158F"/>
    <w:rsid w:val="006E62F3"/>
    <w:rsid w:val="006F19EB"/>
    <w:rsid w:val="006F3556"/>
    <w:rsid w:val="0070003E"/>
    <w:rsid w:val="007047C4"/>
    <w:rsid w:val="007115BB"/>
    <w:rsid w:val="00716CD1"/>
    <w:rsid w:val="0072632B"/>
    <w:rsid w:val="00756101"/>
    <w:rsid w:val="00775CC7"/>
    <w:rsid w:val="0078060B"/>
    <w:rsid w:val="0079012D"/>
    <w:rsid w:val="00795404"/>
    <w:rsid w:val="007B520B"/>
    <w:rsid w:val="007D012B"/>
    <w:rsid w:val="007E1882"/>
    <w:rsid w:val="007E7AC6"/>
    <w:rsid w:val="00802C02"/>
    <w:rsid w:val="008138FD"/>
    <w:rsid w:val="00830AE2"/>
    <w:rsid w:val="00833F4B"/>
    <w:rsid w:val="0084381F"/>
    <w:rsid w:val="00847FFD"/>
    <w:rsid w:val="0088055C"/>
    <w:rsid w:val="008821B0"/>
    <w:rsid w:val="00894907"/>
    <w:rsid w:val="008A5A7B"/>
    <w:rsid w:val="008A5AA1"/>
    <w:rsid w:val="008B22E8"/>
    <w:rsid w:val="008E5FCE"/>
    <w:rsid w:val="009002F4"/>
    <w:rsid w:val="009025A0"/>
    <w:rsid w:val="009127F7"/>
    <w:rsid w:val="00926AAC"/>
    <w:rsid w:val="00951552"/>
    <w:rsid w:val="00952BA4"/>
    <w:rsid w:val="00962C26"/>
    <w:rsid w:val="00972414"/>
    <w:rsid w:val="0098063B"/>
    <w:rsid w:val="009814F6"/>
    <w:rsid w:val="00984FCC"/>
    <w:rsid w:val="00995A87"/>
    <w:rsid w:val="0099702C"/>
    <w:rsid w:val="009C5C51"/>
    <w:rsid w:val="009C72F6"/>
    <w:rsid w:val="009D1938"/>
    <w:rsid w:val="009D2F67"/>
    <w:rsid w:val="009D45FD"/>
    <w:rsid w:val="009D66C6"/>
    <w:rsid w:val="009D7844"/>
    <w:rsid w:val="009F6AC2"/>
    <w:rsid w:val="00A0049F"/>
    <w:rsid w:val="00A00680"/>
    <w:rsid w:val="00A0463B"/>
    <w:rsid w:val="00A14986"/>
    <w:rsid w:val="00A5695B"/>
    <w:rsid w:val="00A7285A"/>
    <w:rsid w:val="00A83071"/>
    <w:rsid w:val="00A858AC"/>
    <w:rsid w:val="00A93A5A"/>
    <w:rsid w:val="00AA1150"/>
    <w:rsid w:val="00AE5021"/>
    <w:rsid w:val="00B54733"/>
    <w:rsid w:val="00B562FE"/>
    <w:rsid w:val="00B6152D"/>
    <w:rsid w:val="00B836B0"/>
    <w:rsid w:val="00B84DEB"/>
    <w:rsid w:val="00BB0BEC"/>
    <w:rsid w:val="00BB2800"/>
    <w:rsid w:val="00BB5720"/>
    <w:rsid w:val="00BC13BF"/>
    <w:rsid w:val="00BD706E"/>
    <w:rsid w:val="00BF024F"/>
    <w:rsid w:val="00BF20F6"/>
    <w:rsid w:val="00BF6CF7"/>
    <w:rsid w:val="00C24955"/>
    <w:rsid w:val="00C50DDF"/>
    <w:rsid w:val="00C72365"/>
    <w:rsid w:val="00C80D81"/>
    <w:rsid w:val="00CA75C4"/>
    <w:rsid w:val="00CB7AC3"/>
    <w:rsid w:val="00CC1E1C"/>
    <w:rsid w:val="00CC2F3D"/>
    <w:rsid w:val="00CC4826"/>
    <w:rsid w:val="00CC559F"/>
    <w:rsid w:val="00CD1010"/>
    <w:rsid w:val="00D004FD"/>
    <w:rsid w:val="00D049B0"/>
    <w:rsid w:val="00D11312"/>
    <w:rsid w:val="00D14503"/>
    <w:rsid w:val="00D145BA"/>
    <w:rsid w:val="00D14686"/>
    <w:rsid w:val="00D24493"/>
    <w:rsid w:val="00D33DA6"/>
    <w:rsid w:val="00D50664"/>
    <w:rsid w:val="00D511AC"/>
    <w:rsid w:val="00D5537C"/>
    <w:rsid w:val="00D6199E"/>
    <w:rsid w:val="00D677C6"/>
    <w:rsid w:val="00D80957"/>
    <w:rsid w:val="00D837FE"/>
    <w:rsid w:val="00D846C5"/>
    <w:rsid w:val="00D85C2E"/>
    <w:rsid w:val="00D90A65"/>
    <w:rsid w:val="00D95E26"/>
    <w:rsid w:val="00DA43A1"/>
    <w:rsid w:val="00DA515C"/>
    <w:rsid w:val="00DA6A0B"/>
    <w:rsid w:val="00DC3C37"/>
    <w:rsid w:val="00DD2C93"/>
    <w:rsid w:val="00DD2C9B"/>
    <w:rsid w:val="00DE1A0D"/>
    <w:rsid w:val="00DF64FF"/>
    <w:rsid w:val="00E11D3C"/>
    <w:rsid w:val="00E33564"/>
    <w:rsid w:val="00E53F9A"/>
    <w:rsid w:val="00E57D4C"/>
    <w:rsid w:val="00E7355C"/>
    <w:rsid w:val="00E75318"/>
    <w:rsid w:val="00E820EF"/>
    <w:rsid w:val="00E864C5"/>
    <w:rsid w:val="00E941DD"/>
    <w:rsid w:val="00E96E37"/>
    <w:rsid w:val="00EA212F"/>
    <w:rsid w:val="00EB572D"/>
    <w:rsid w:val="00EC1297"/>
    <w:rsid w:val="00EC6A32"/>
    <w:rsid w:val="00EE0530"/>
    <w:rsid w:val="00EF3DF2"/>
    <w:rsid w:val="00EF75B7"/>
    <w:rsid w:val="00F31652"/>
    <w:rsid w:val="00F44788"/>
    <w:rsid w:val="00F57F50"/>
    <w:rsid w:val="00F60252"/>
    <w:rsid w:val="00F61B41"/>
    <w:rsid w:val="00FA2F61"/>
    <w:rsid w:val="00FD0C42"/>
    <w:rsid w:val="00FD7D74"/>
    <w:rsid w:val="00FE3FEA"/>
    <w:rsid w:val="07713D59"/>
    <w:rsid w:val="07FA44EB"/>
    <w:rsid w:val="24750686"/>
    <w:rsid w:val="3ECA6F9F"/>
    <w:rsid w:val="413E3E9D"/>
    <w:rsid w:val="56DB3D0C"/>
    <w:rsid w:val="6140022F"/>
    <w:rsid w:val="6D3876E4"/>
    <w:rsid w:val="6E6D59F5"/>
    <w:rsid w:val="6E6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20"/>
    <w:qFormat/>
    <w:uiPriority w:val="0"/>
    <w:rPr>
      <w:rFonts w:ascii="宋体" w:hAnsi="Courier New" w:eastAsia="仿宋_GB2312"/>
      <w:kern w:val="0"/>
      <w:sz w:val="30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0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6">
    <w:name w:val="正文（缩进）"/>
    <w:basedOn w:val="1"/>
    <w:qFormat/>
    <w:uiPriority w:val="0"/>
    <w:pPr>
      <w:spacing w:before="50" w:after="50"/>
      <w:ind w:firstLine="200" w:firstLineChars="200"/>
    </w:pPr>
    <w:rPr>
      <w:rFonts w:ascii="Times New Roman" w:hAnsi="Times New Roman"/>
      <w:szCs w:val="22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纯文本 字符"/>
    <w:basedOn w:val="12"/>
    <w:link w:val="4"/>
    <w:qFormat/>
    <w:uiPriority w:val="0"/>
    <w:rPr>
      <w:rFonts w:ascii="宋体" w:hAnsi="Courier New" w:eastAsia="仿宋_GB2312" w:cs="Times New Roman"/>
      <w:kern w:val="0"/>
      <w:sz w:val="30"/>
      <w:szCs w:val="20"/>
    </w:rPr>
  </w:style>
  <w:style w:type="character" w:customStyle="1" w:styleId="21">
    <w:name w:val="标题 字符"/>
    <w:basedOn w:val="12"/>
    <w:link w:val="9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2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批注主题 字符"/>
    <w:basedOn w:val="24"/>
    <w:link w:val="10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26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font3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29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8C3D-C22F-4808-AE77-EBD7DAA96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5111</Words>
  <Characters>6360</Characters>
  <Lines>41</Lines>
  <Paragraphs>11</Paragraphs>
  <TotalTime>38</TotalTime>
  <ScaleCrop>false</ScaleCrop>
  <LinksUpToDate>false</LinksUpToDate>
  <CharactersWithSpaces>6408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2025-03-24T06:59:00Z</dcterms:created>
  <dc:creator>信息科</dc:creator>
  <cp:lastModifiedBy>Limbo</cp:lastModifiedBy>
  <dcterms:modified xsi:type="dcterms:W3CDTF">2025-09-11T09:24:25Z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eyJoZGlkIjoiZmI3YjQxMThhMGIyYzkxNTY3Yzc4MmU3M2Q1NDFiZWIiLCJ1c2VySWQiOiIyMDA1ODk2MzIifQ==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F6A036903DAE4ABCB69B32FBB1EE184E_13</vt:lpwstr>
  </property>
</Properties>
</file>