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21B2F">
      <w:pPr>
        <w:snapToGrid w:val="0"/>
        <w:spacing w:line="360" w:lineRule="auto"/>
        <w:ind w:left="-420" w:leftChars="-200"/>
        <w:jc w:val="center"/>
        <w:rPr>
          <w:rFonts w:hint="eastAsia" w:ascii="宋体" w:eastAsia="宋体"/>
          <w:b/>
          <w:bCs/>
          <w:color w:val="000000"/>
          <w:sz w:val="32"/>
          <w:szCs w:val="32"/>
          <w:lang w:eastAsia="zh-CN"/>
        </w:rPr>
      </w:pPr>
      <w:r>
        <w:rPr>
          <w:rFonts w:hint="eastAsia" w:ascii="宋体" w:eastAsia="宋体"/>
          <w:b/>
          <w:bCs/>
          <w:color w:val="000000"/>
          <w:sz w:val="32"/>
          <w:szCs w:val="32"/>
        </w:rPr>
        <w:t>佛山市顺德区</w:t>
      </w:r>
      <w:r>
        <w:rPr>
          <w:rFonts w:hint="eastAsia" w:ascii="宋体" w:eastAsia="宋体"/>
          <w:b/>
          <w:bCs/>
          <w:color w:val="000000"/>
          <w:sz w:val="32"/>
          <w:szCs w:val="32"/>
          <w:lang w:val="en-US" w:eastAsia="zh-CN"/>
        </w:rPr>
        <w:t>第四人民医院（佛山市顺德区</w:t>
      </w:r>
      <w:r>
        <w:rPr>
          <w:rFonts w:hint="eastAsia" w:ascii="宋体" w:eastAsia="宋体"/>
          <w:b/>
          <w:bCs/>
          <w:color w:val="000000"/>
          <w:sz w:val="32"/>
          <w:szCs w:val="32"/>
        </w:rPr>
        <w:t>伍仲珮纪念医院</w:t>
      </w:r>
      <w:r>
        <w:rPr>
          <w:rFonts w:hint="eastAsia" w:ascii="宋体" w:eastAsia="宋体"/>
          <w:b/>
          <w:bCs/>
          <w:color w:val="000000"/>
          <w:sz w:val="32"/>
          <w:szCs w:val="32"/>
          <w:lang w:eastAsia="zh-CN"/>
        </w:rPr>
        <w:t>）</w:t>
      </w:r>
    </w:p>
    <w:p w14:paraId="308675AC">
      <w:pPr>
        <w:snapToGrid w:val="0"/>
        <w:spacing w:line="360" w:lineRule="auto"/>
        <w:ind w:left="-420" w:leftChars="-200"/>
        <w:jc w:val="center"/>
        <w:rPr>
          <w:rFonts w:hint="eastAsia" w:ascii="宋体"/>
          <w:b/>
          <w:bCs/>
          <w:color w:val="000000"/>
          <w:sz w:val="32"/>
          <w:szCs w:val="32"/>
        </w:rPr>
      </w:pPr>
      <w:r>
        <w:rPr>
          <w:rFonts w:hint="eastAsia" w:ascii="宋体" w:eastAsia="宋体"/>
          <w:b/>
          <w:bCs/>
          <w:color w:val="000000"/>
          <w:sz w:val="32"/>
          <w:szCs w:val="32"/>
        </w:rPr>
        <w:t>202</w:t>
      </w:r>
      <w:r>
        <w:rPr>
          <w:rFonts w:hint="eastAsia" w:ascii="宋体" w:eastAsia="宋体"/>
          <w:b/>
          <w:bCs/>
          <w:color w:val="000000"/>
          <w:sz w:val="32"/>
          <w:szCs w:val="32"/>
          <w:lang w:val="en-US" w:eastAsia="zh-CN"/>
        </w:rPr>
        <w:t>6</w:t>
      </w:r>
      <w:r>
        <w:rPr>
          <w:rFonts w:hint="eastAsia" w:ascii="宋体" w:eastAsia="宋体"/>
          <w:b/>
          <w:bCs/>
          <w:color w:val="000000"/>
          <w:sz w:val="32"/>
          <w:szCs w:val="32"/>
        </w:rPr>
        <w:t>-202</w:t>
      </w:r>
      <w:r>
        <w:rPr>
          <w:rFonts w:hint="eastAsia" w:ascii="宋体" w:eastAsia="宋体"/>
          <w:b/>
          <w:bCs/>
          <w:color w:val="000000"/>
          <w:sz w:val="32"/>
          <w:szCs w:val="32"/>
          <w:lang w:val="en-US" w:eastAsia="zh-CN"/>
        </w:rPr>
        <w:t>7</w:t>
      </w:r>
      <w:r>
        <w:rPr>
          <w:rFonts w:hint="eastAsia" w:ascii="宋体" w:eastAsia="宋体"/>
          <w:b/>
          <w:bCs/>
          <w:color w:val="000000"/>
          <w:sz w:val="32"/>
          <w:szCs w:val="32"/>
        </w:rPr>
        <w:t>年度</w:t>
      </w:r>
      <w:r>
        <w:rPr>
          <w:rFonts w:hint="eastAsia" w:ascii="宋体"/>
          <w:b/>
          <w:bCs/>
          <w:color w:val="000000"/>
          <w:sz w:val="32"/>
          <w:szCs w:val="32"/>
        </w:rPr>
        <w:t>车辆维修服务项目需求书</w:t>
      </w:r>
    </w:p>
    <w:p w14:paraId="5E54BD4D">
      <w:pPr>
        <w:pStyle w:val="2"/>
      </w:pPr>
    </w:p>
    <w:p w14:paraId="2DF0ECB0">
      <w:pPr>
        <w:pStyle w:val="22"/>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2" w:firstLineChars="200"/>
        <w:jc w:val="both"/>
        <w:textAlignment w:val="auto"/>
        <w:rPr>
          <w:rFonts w:hint="eastAsia" w:ascii="宋体" w:hAnsi="宋体" w:eastAsia="宋体" w:cs="宋体"/>
          <w:b/>
          <w:sz w:val="24"/>
          <w:szCs w:val="24"/>
        </w:rPr>
      </w:pPr>
      <w:r>
        <w:rPr>
          <w:rFonts w:hint="eastAsia" w:ascii="宋体" w:hAnsi="宋体" w:eastAsia="宋体" w:cs="宋体"/>
          <w:b/>
          <w:kern w:val="0"/>
          <w:sz w:val="24"/>
          <w:szCs w:val="24"/>
          <w:lang w:val="en-US" w:eastAsia="zh-CN" w:bidi="ar-SA"/>
        </w:rPr>
        <w:t>一、</w:t>
      </w:r>
      <w:r>
        <w:rPr>
          <w:rFonts w:hint="eastAsia" w:ascii="宋体" w:hAnsi="宋体" w:eastAsia="宋体" w:cs="宋体"/>
          <w:b/>
          <w:bCs/>
          <w:sz w:val="24"/>
          <w:szCs w:val="24"/>
        </w:rPr>
        <w:t>项目基本概况</w:t>
      </w:r>
    </w:p>
    <w:p w14:paraId="75BB5B31">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（一）项目介绍：医院现有救护车</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val="zh-CN"/>
        </w:rPr>
        <w:t>辆，公务车</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val="zh-CN"/>
        </w:rPr>
        <w:t>辆，</w:t>
      </w:r>
      <w:r>
        <w:rPr>
          <w:rFonts w:hint="eastAsia" w:ascii="宋体" w:hAnsi="宋体" w:eastAsia="宋体" w:cs="宋体"/>
          <w:kern w:val="0"/>
          <w:sz w:val="24"/>
          <w:szCs w:val="24"/>
        </w:rPr>
        <w:t>合计共</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辆。</w:t>
      </w:r>
    </w:p>
    <w:p w14:paraId="47FF218A">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（二）项目内容：</w:t>
      </w:r>
    </w:p>
    <w:tbl>
      <w:tblPr>
        <w:tblStyle w:val="42"/>
        <w:tblW w:w="9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5"/>
        <w:gridCol w:w="1825"/>
        <w:gridCol w:w="1312"/>
        <w:gridCol w:w="3461"/>
      </w:tblGrid>
      <w:tr w14:paraId="17F7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3265" w:type="dxa"/>
            <w:tcBorders>
              <w:top w:val="single" w:color="auto" w:sz="4" w:space="0"/>
              <w:left w:val="single" w:color="auto" w:sz="4" w:space="0"/>
              <w:bottom w:val="single" w:color="auto" w:sz="4" w:space="0"/>
              <w:right w:val="single" w:color="auto" w:sz="4" w:space="0"/>
            </w:tcBorders>
            <w:vAlign w:val="center"/>
          </w:tcPr>
          <w:p w14:paraId="77AAE76A">
            <w:pPr>
              <w:keepLines w:val="0"/>
              <w:pageBreakBefore w:val="0"/>
              <w:kinsoku/>
              <w:wordWrap/>
              <w:overflowPunct/>
              <w:topLinePunct w:val="0"/>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采购内容</w:t>
            </w:r>
          </w:p>
        </w:tc>
        <w:tc>
          <w:tcPr>
            <w:tcW w:w="1825" w:type="dxa"/>
            <w:tcBorders>
              <w:top w:val="single" w:color="auto" w:sz="4" w:space="0"/>
              <w:left w:val="single" w:color="auto" w:sz="4" w:space="0"/>
              <w:bottom w:val="single" w:color="auto" w:sz="4" w:space="0"/>
              <w:right w:val="single" w:color="auto" w:sz="4" w:space="0"/>
            </w:tcBorders>
            <w:vAlign w:val="center"/>
          </w:tcPr>
          <w:p w14:paraId="148DCD08">
            <w:pPr>
              <w:keepLines w:val="0"/>
              <w:pageBreakBefore w:val="0"/>
              <w:kinsoku/>
              <w:wordWrap/>
              <w:overflowPunct/>
              <w:topLinePunct w:val="0"/>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最高工时单价</w:t>
            </w:r>
          </w:p>
        </w:tc>
        <w:tc>
          <w:tcPr>
            <w:tcW w:w="1312" w:type="dxa"/>
            <w:tcBorders>
              <w:top w:val="single" w:color="auto" w:sz="4" w:space="0"/>
              <w:left w:val="single" w:color="auto" w:sz="4" w:space="0"/>
              <w:bottom w:val="single" w:color="auto" w:sz="4" w:space="0"/>
              <w:right w:val="single" w:color="auto" w:sz="4" w:space="0"/>
            </w:tcBorders>
            <w:vAlign w:val="center"/>
          </w:tcPr>
          <w:p w14:paraId="5044FC46">
            <w:pPr>
              <w:keepLines w:val="0"/>
              <w:pageBreakBefore w:val="0"/>
              <w:kinsoku/>
              <w:wordWrap/>
              <w:overflowPunct/>
              <w:topLinePunct w:val="0"/>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期限</w:t>
            </w:r>
          </w:p>
        </w:tc>
        <w:tc>
          <w:tcPr>
            <w:tcW w:w="3461" w:type="dxa"/>
            <w:tcBorders>
              <w:top w:val="single" w:color="auto" w:sz="4" w:space="0"/>
              <w:left w:val="single" w:color="auto" w:sz="4" w:space="0"/>
              <w:bottom w:val="single" w:color="auto" w:sz="4" w:space="0"/>
              <w:right w:val="single" w:color="auto" w:sz="4" w:space="0"/>
            </w:tcBorders>
            <w:vAlign w:val="center"/>
          </w:tcPr>
          <w:p w14:paraId="630515DC">
            <w:pPr>
              <w:keepLines w:val="0"/>
              <w:pageBreakBefore w:val="0"/>
              <w:kinsoku/>
              <w:wordWrap/>
              <w:overflowPunct/>
              <w:topLinePunct w:val="0"/>
              <w:bidi w:val="0"/>
              <w:spacing w:line="360" w:lineRule="auto"/>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预算价</w:t>
            </w:r>
          </w:p>
        </w:tc>
      </w:tr>
      <w:tr w14:paraId="0C1B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3265" w:type="dxa"/>
            <w:tcBorders>
              <w:top w:val="single" w:color="auto" w:sz="4" w:space="0"/>
              <w:left w:val="single" w:color="auto" w:sz="4" w:space="0"/>
              <w:bottom w:val="single" w:color="auto" w:sz="4" w:space="0"/>
              <w:right w:val="single" w:color="auto" w:sz="4" w:space="0"/>
            </w:tcBorders>
            <w:vAlign w:val="center"/>
          </w:tcPr>
          <w:p w14:paraId="6E547D2E">
            <w:pPr>
              <w:keepLines w:val="0"/>
              <w:pageBreakBefore w:val="0"/>
              <w:kinsoku/>
              <w:wordWrap/>
              <w:overflowPunct/>
              <w:topLinePunct w:val="0"/>
              <w:bidi w:val="0"/>
              <w:spacing w:line="360" w:lineRule="auto"/>
              <w:jc w:val="center"/>
              <w:rPr>
                <w:rFonts w:hint="eastAsia" w:ascii="宋体" w:hAnsi="宋体" w:eastAsia="宋体" w:cs="宋体"/>
                <w:bCs/>
                <w:sz w:val="24"/>
                <w:szCs w:val="24"/>
              </w:rPr>
            </w:pPr>
            <w:r>
              <w:rPr>
                <w:rFonts w:hint="eastAsia" w:ascii="宋体" w:hAnsi="宋体" w:eastAsia="宋体" w:cs="宋体"/>
                <w:bCs/>
                <w:kern w:val="2"/>
                <w:sz w:val="24"/>
                <w:szCs w:val="24"/>
                <w:lang w:val="en-US" w:eastAsia="zh-CN" w:bidi="ar-SA"/>
              </w:rPr>
              <w:t>2026-2027年度车辆维修服务项目</w:t>
            </w:r>
          </w:p>
        </w:tc>
        <w:tc>
          <w:tcPr>
            <w:tcW w:w="1825" w:type="dxa"/>
            <w:tcBorders>
              <w:top w:val="single" w:color="auto" w:sz="4" w:space="0"/>
              <w:left w:val="single" w:color="auto" w:sz="4" w:space="0"/>
              <w:bottom w:val="single" w:color="auto" w:sz="4" w:space="0"/>
              <w:right w:val="single" w:color="auto" w:sz="4" w:space="0"/>
            </w:tcBorders>
            <w:vAlign w:val="center"/>
          </w:tcPr>
          <w:p w14:paraId="0030DA65">
            <w:pPr>
              <w:pStyle w:val="38"/>
              <w:keepNext/>
              <w:keepLines w:val="0"/>
              <w:pageBreakBefore w:val="0"/>
              <w:widowControl w:val="0"/>
              <w:kinsoku/>
              <w:wordWrap/>
              <w:overflowPunct/>
              <w:topLinePunct w:val="0"/>
              <w:bidi w:val="0"/>
              <w:adjustRightInd w:val="0"/>
              <w:snapToGrid w:val="0"/>
              <w:spacing w:before="60" w:beforeAutospacing="0" w:after="60" w:afterAutospacing="0" w:line="360" w:lineRule="auto"/>
              <w:jc w:val="center"/>
              <w:rPr>
                <w:rFonts w:hint="eastAsia" w:ascii="宋体" w:hAnsi="宋体" w:eastAsia="宋体" w:cs="宋体"/>
                <w:bCs/>
                <w:kern w:val="2"/>
                <w:sz w:val="24"/>
                <w:szCs w:val="24"/>
              </w:rPr>
            </w:pPr>
            <w:r>
              <w:rPr>
                <w:rFonts w:hint="eastAsia" w:ascii="宋体" w:hAnsi="宋体" w:eastAsia="宋体" w:cs="宋体"/>
                <w:bCs/>
                <w:kern w:val="2"/>
                <w:sz w:val="24"/>
                <w:szCs w:val="24"/>
              </w:rPr>
              <w:t>80元/小时</w:t>
            </w:r>
          </w:p>
        </w:tc>
        <w:tc>
          <w:tcPr>
            <w:tcW w:w="1312" w:type="dxa"/>
            <w:tcBorders>
              <w:top w:val="single" w:color="auto" w:sz="4" w:space="0"/>
              <w:left w:val="single" w:color="auto" w:sz="4" w:space="0"/>
              <w:bottom w:val="single" w:color="auto" w:sz="4" w:space="0"/>
              <w:right w:val="single" w:color="auto" w:sz="4" w:space="0"/>
            </w:tcBorders>
            <w:vAlign w:val="center"/>
          </w:tcPr>
          <w:p w14:paraId="39F09CBA">
            <w:pPr>
              <w:pStyle w:val="38"/>
              <w:keepNext/>
              <w:keepLines w:val="0"/>
              <w:pageBreakBefore w:val="0"/>
              <w:widowControl w:val="0"/>
              <w:kinsoku/>
              <w:wordWrap/>
              <w:overflowPunct/>
              <w:topLinePunct w:val="0"/>
              <w:bidi w:val="0"/>
              <w:adjustRightInd w:val="0"/>
              <w:snapToGrid w:val="0"/>
              <w:spacing w:before="60" w:beforeAutospacing="0" w:after="60" w:afterAutospacing="0" w:line="360" w:lineRule="auto"/>
              <w:jc w:val="center"/>
              <w:rPr>
                <w:rFonts w:hint="eastAsia" w:ascii="宋体" w:hAnsi="宋体" w:eastAsia="宋体" w:cs="宋体"/>
                <w:bCs/>
                <w:kern w:val="2"/>
                <w:sz w:val="24"/>
                <w:szCs w:val="24"/>
              </w:rPr>
            </w:pPr>
            <w:r>
              <w:rPr>
                <w:rFonts w:hint="eastAsia" w:ascii="宋体" w:hAnsi="宋体" w:eastAsia="宋体" w:cs="宋体"/>
                <w:bCs/>
                <w:kern w:val="2"/>
                <w:sz w:val="24"/>
                <w:szCs w:val="24"/>
              </w:rPr>
              <w:t>2年</w:t>
            </w:r>
          </w:p>
        </w:tc>
        <w:tc>
          <w:tcPr>
            <w:tcW w:w="3461" w:type="dxa"/>
            <w:tcBorders>
              <w:top w:val="single" w:color="auto" w:sz="4" w:space="0"/>
              <w:left w:val="single" w:color="auto" w:sz="4" w:space="0"/>
              <w:bottom w:val="single" w:color="auto" w:sz="4" w:space="0"/>
              <w:right w:val="single" w:color="auto" w:sz="4" w:space="0"/>
            </w:tcBorders>
            <w:vAlign w:val="center"/>
          </w:tcPr>
          <w:p w14:paraId="3D8DADB4">
            <w:pPr>
              <w:pStyle w:val="38"/>
              <w:keepNext/>
              <w:keepLines w:val="0"/>
              <w:pageBreakBefore w:val="0"/>
              <w:widowControl w:val="0"/>
              <w:kinsoku/>
              <w:wordWrap/>
              <w:overflowPunct/>
              <w:topLinePunct w:val="0"/>
              <w:bidi w:val="0"/>
              <w:adjustRightInd w:val="0"/>
              <w:snapToGrid w:val="0"/>
              <w:spacing w:before="60" w:beforeAutospacing="0" w:after="60" w:afterAutospacing="0" w:line="360" w:lineRule="auto"/>
              <w:jc w:val="center"/>
              <w:rPr>
                <w:rFonts w:hint="default" w:ascii="宋体" w:hAnsi="宋体" w:eastAsia="宋体" w:cs="宋体"/>
                <w:bCs/>
                <w:kern w:val="2"/>
                <w:sz w:val="24"/>
                <w:szCs w:val="24"/>
                <w:lang w:val="en-US" w:eastAsia="zh-CN"/>
              </w:rPr>
            </w:pP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lang w:val="zh-CN"/>
              </w:rPr>
              <w:t>万元</w:t>
            </w:r>
            <w:r>
              <w:rPr>
                <w:rFonts w:hint="eastAsia" w:ascii="宋体" w:hAnsi="宋体" w:eastAsia="宋体" w:cs="宋体"/>
                <w:kern w:val="0"/>
                <w:sz w:val="24"/>
                <w:szCs w:val="24"/>
                <w:highlight w:val="none"/>
              </w:rPr>
              <w:t>/年</w:t>
            </w:r>
            <w:r>
              <w:rPr>
                <w:rFonts w:hint="eastAsia" w:cs="宋体"/>
                <w:kern w:val="0"/>
                <w:sz w:val="24"/>
                <w:szCs w:val="24"/>
                <w:highlight w:val="none"/>
                <w:lang w:eastAsia="zh-CN"/>
              </w:rPr>
              <w:t>，</w:t>
            </w:r>
            <w:r>
              <w:rPr>
                <w:rFonts w:hint="eastAsia" w:cs="宋体"/>
                <w:kern w:val="0"/>
                <w:sz w:val="24"/>
                <w:szCs w:val="24"/>
                <w:highlight w:val="none"/>
                <w:lang w:val="en-US" w:eastAsia="zh-CN"/>
              </w:rPr>
              <w:t>2年共8万元。</w:t>
            </w:r>
          </w:p>
        </w:tc>
      </w:tr>
      <w:tr w14:paraId="486E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9863" w:type="dxa"/>
            <w:gridSpan w:val="4"/>
            <w:tcBorders>
              <w:top w:val="single" w:color="auto" w:sz="4" w:space="0"/>
              <w:left w:val="single" w:color="auto" w:sz="4" w:space="0"/>
              <w:bottom w:val="single" w:color="auto" w:sz="4" w:space="0"/>
              <w:right w:val="single" w:color="auto" w:sz="4" w:space="0"/>
            </w:tcBorders>
            <w:vAlign w:val="center"/>
          </w:tcPr>
          <w:p w14:paraId="5A9937BF">
            <w:pPr>
              <w:pStyle w:val="38"/>
              <w:keepNext/>
              <w:keepLines w:val="0"/>
              <w:pageBreakBefore w:val="0"/>
              <w:widowControl w:val="0"/>
              <w:kinsoku/>
              <w:wordWrap/>
              <w:overflowPunct/>
              <w:topLinePunct w:val="0"/>
              <w:bidi w:val="0"/>
              <w:adjustRightInd w:val="0"/>
              <w:snapToGrid w:val="0"/>
              <w:spacing w:before="60" w:beforeAutospacing="0" w:after="60" w:afterAutospacing="0" w:line="360" w:lineRule="auto"/>
              <w:jc w:val="left"/>
              <w:rPr>
                <w:rFonts w:hint="default" w:ascii="宋体" w:hAnsi="宋体" w:eastAsia="宋体" w:cs="宋体"/>
                <w:bCs/>
                <w:kern w:val="2"/>
                <w:sz w:val="24"/>
                <w:szCs w:val="24"/>
                <w:lang w:val="en-US" w:eastAsia="zh-CN" w:bidi="ar-SA"/>
              </w:rPr>
            </w:pPr>
            <w:r>
              <w:rPr>
                <w:rFonts w:hint="eastAsia" w:cs="宋体"/>
                <w:kern w:val="0"/>
                <w:sz w:val="24"/>
                <w:szCs w:val="24"/>
                <w:highlight w:val="none"/>
                <w:lang w:val="en-US" w:eastAsia="zh-CN"/>
              </w:rPr>
              <w:t>注：</w:t>
            </w:r>
            <w:r>
              <w:rPr>
                <w:rFonts w:hint="eastAsia" w:ascii="宋体" w:hAnsi="宋体" w:eastAsia="宋体" w:cs="宋体"/>
                <w:kern w:val="0"/>
                <w:sz w:val="24"/>
                <w:szCs w:val="24"/>
                <w:highlight w:val="none"/>
                <w:lang w:val="en-US" w:eastAsia="zh-CN" w:bidi="ar-SA"/>
              </w:rPr>
              <w:t>采购人不承诺在协议服务期内授予确定的业务量及业务收入，供应商在参与前对此应有足够的风险认识，一经参与，即视为供应商愿意无条件承担有关风险并放弃一切与此相关的求偿权利。</w:t>
            </w:r>
          </w:p>
        </w:tc>
      </w:tr>
    </w:tbl>
    <w:p w14:paraId="15C8103B">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w:t>
      </w:r>
      <w:r>
        <w:rPr>
          <w:rFonts w:hint="eastAsia" w:ascii="宋体" w:hAnsi="宋体" w:cs="宋体"/>
          <w:kern w:val="0"/>
          <w:sz w:val="24"/>
          <w:szCs w:val="24"/>
          <w:highlight w:val="none"/>
          <w:lang w:val="en-US" w:eastAsia="zh-CN"/>
        </w:rPr>
        <w:t>三</w:t>
      </w:r>
      <w:r>
        <w:rPr>
          <w:rFonts w:hint="eastAsia" w:ascii="宋体" w:hAnsi="宋体" w:eastAsia="宋体" w:cs="宋体"/>
          <w:kern w:val="0"/>
          <w:sz w:val="24"/>
          <w:szCs w:val="24"/>
          <w:highlight w:val="none"/>
          <w:lang w:val="zh-CN"/>
        </w:rPr>
        <w:t>）服务期限：自</w:t>
      </w:r>
      <w:r>
        <w:rPr>
          <w:rFonts w:hint="eastAsia" w:ascii="宋体" w:hAnsi="宋体" w:eastAsia="宋体" w:cs="宋体"/>
          <w:kern w:val="0"/>
          <w:sz w:val="24"/>
          <w:szCs w:val="24"/>
          <w:highlight w:val="none"/>
          <w:lang w:val="zh-CN" w:eastAsia="zh-CN"/>
        </w:rPr>
        <w:t>合同</w:t>
      </w:r>
      <w:r>
        <w:rPr>
          <w:rFonts w:hint="eastAsia" w:ascii="宋体" w:hAnsi="宋体" w:eastAsia="宋体" w:cs="宋体"/>
          <w:kern w:val="0"/>
          <w:sz w:val="24"/>
          <w:szCs w:val="24"/>
          <w:highlight w:val="none"/>
          <w:lang w:val="zh-CN"/>
        </w:rPr>
        <w:t>签订生效之日起2年，当服务期满二年或合同金额累计达到</w:t>
      </w:r>
      <w:r>
        <w:rPr>
          <w:rFonts w:hint="eastAsia" w:ascii="宋体" w:hAnsi="宋体" w:eastAsia="宋体" w:cs="宋体"/>
          <w:kern w:val="0"/>
          <w:sz w:val="24"/>
          <w:szCs w:val="24"/>
          <w:highlight w:val="none"/>
          <w:lang w:val="zh-CN" w:eastAsia="zh-CN"/>
        </w:rPr>
        <w:t>最高限价</w:t>
      </w:r>
      <w:r>
        <w:rPr>
          <w:rFonts w:hint="eastAsia" w:ascii="宋体" w:hAnsi="宋体" w:eastAsia="宋体" w:cs="宋体"/>
          <w:kern w:val="0"/>
          <w:sz w:val="24"/>
          <w:szCs w:val="24"/>
          <w:highlight w:val="none"/>
          <w:lang w:val="zh-CN"/>
        </w:rPr>
        <w:t>时（以先到为准），该合同自动终止。</w:t>
      </w:r>
    </w:p>
    <w:p w14:paraId="78F28F48">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w:t>
      </w:r>
      <w:r>
        <w:rPr>
          <w:rFonts w:hint="eastAsia" w:ascii="宋体" w:hAnsi="宋体" w:eastAsia="宋体" w:cs="宋体"/>
          <w:kern w:val="0"/>
          <w:sz w:val="24"/>
          <w:szCs w:val="24"/>
          <w:highlight w:val="none"/>
          <w:lang w:val="en-US" w:eastAsia="zh-CN"/>
        </w:rPr>
        <w:t>四</w:t>
      </w:r>
      <w:r>
        <w:rPr>
          <w:rFonts w:hint="eastAsia" w:ascii="宋体" w:hAnsi="宋体" w:eastAsia="宋体" w:cs="宋体"/>
          <w:kern w:val="0"/>
          <w:sz w:val="24"/>
          <w:szCs w:val="24"/>
          <w:highlight w:val="none"/>
          <w:lang w:val="zh-CN"/>
        </w:rPr>
        <w:t>）本次维修车辆种类：轿车、救护车、商务车、面包车。</w:t>
      </w:r>
    </w:p>
    <w:p w14:paraId="477DBC81">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b/>
          <w:bCs/>
          <w:sz w:val="24"/>
          <w:szCs w:val="24"/>
          <w:highlight w:val="none"/>
        </w:rPr>
      </w:pPr>
      <w:r>
        <w:rPr>
          <w:rFonts w:hint="eastAsia" w:ascii="宋体" w:hAnsi="宋体" w:eastAsia="宋体" w:cs="宋体"/>
          <w:kern w:val="0"/>
          <w:sz w:val="24"/>
          <w:szCs w:val="24"/>
          <w:highlight w:val="none"/>
          <w:lang w:val="zh-CN"/>
        </w:rPr>
        <w:t>（</w:t>
      </w:r>
      <w:r>
        <w:rPr>
          <w:rFonts w:hint="eastAsia" w:ascii="宋体" w:hAnsi="宋体" w:cs="宋体"/>
          <w:kern w:val="0"/>
          <w:sz w:val="24"/>
          <w:szCs w:val="24"/>
          <w:highlight w:val="none"/>
          <w:lang w:val="en-US" w:eastAsia="zh-CN"/>
        </w:rPr>
        <w:t>五</w:t>
      </w:r>
      <w:r>
        <w:rPr>
          <w:rFonts w:hint="eastAsia" w:ascii="宋体" w:hAnsi="宋体" w:eastAsia="宋体" w:cs="宋体"/>
          <w:kern w:val="0"/>
          <w:sz w:val="24"/>
          <w:szCs w:val="24"/>
          <w:highlight w:val="none"/>
          <w:lang w:val="zh-CN"/>
        </w:rPr>
        <w:t>）服务范围：到场接车、车辆大修、各级维护、快速更换轮胎、保养和美容、小修、中修、车辆年检、24小时拖车服务、交通事故车辆维修、代办车辆年审和其他有关汽车维修服务项目。</w:t>
      </w:r>
    </w:p>
    <w:p w14:paraId="73BFDEF0">
      <w:pPr>
        <w:keepLines w:val="0"/>
        <w:pageBreakBefore w:val="0"/>
        <w:tabs>
          <w:tab w:val="left" w:pos="450"/>
          <w:tab w:val="left" w:pos="4770"/>
        </w:tabs>
        <w:kinsoku/>
        <w:wordWrap/>
        <w:overflowPunct/>
        <w:topLinePunct w:val="0"/>
        <w:autoSpaceDE w:val="0"/>
        <w:autoSpaceDN w:val="0"/>
        <w:bidi w:val="0"/>
        <w:adjustRightInd w:val="0"/>
        <w:spacing w:line="360" w:lineRule="auto"/>
        <w:ind w:firstLine="482" w:firstLineChars="200"/>
        <w:jc w:val="both"/>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二、供应商资格要求</w:t>
      </w:r>
      <w:bookmarkStart w:id="1" w:name="_GoBack"/>
      <w:bookmarkEnd w:id="1"/>
    </w:p>
    <w:p w14:paraId="18AF6720">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1.具备《中华人民共和国政府采购法》第二十二条规定的条件。</w:t>
      </w:r>
    </w:p>
    <w:p w14:paraId="187DD263">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lang w:val="zh-CN" w:eastAsia="zh-CN"/>
        </w:rPr>
        <w:t>必须是在中华人民共和国境内注册的具有独立承担民事责任能力的法人或其</w:t>
      </w:r>
      <w:r>
        <w:rPr>
          <w:rFonts w:hint="eastAsia" w:ascii="宋体" w:hAnsi="宋体" w:cs="宋体"/>
          <w:kern w:val="0"/>
          <w:sz w:val="24"/>
          <w:szCs w:val="24"/>
          <w:highlight w:val="none"/>
          <w:lang w:val="en-US" w:eastAsia="zh-CN"/>
        </w:rPr>
        <w:t>他</w:t>
      </w:r>
      <w:r>
        <w:rPr>
          <w:rFonts w:hint="eastAsia" w:ascii="宋体" w:hAnsi="宋体" w:eastAsia="宋体" w:cs="宋体"/>
          <w:kern w:val="0"/>
          <w:sz w:val="24"/>
          <w:szCs w:val="24"/>
          <w:highlight w:val="none"/>
          <w:lang w:val="zh-CN" w:eastAsia="zh-CN"/>
        </w:rPr>
        <w:t>组织。</w:t>
      </w:r>
    </w:p>
    <w:p w14:paraId="504C4B51">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lang w:val="zh-CN" w:eastAsia="zh-CN"/>
        </w:rPr>
        <w:t>营业执照经营范围：本项目相关的内容，如车辆维修保养</w:t>
      </w:r>
      <w:r>
        <w:rPr>
          <w:rFonts w:hint="eastAsia" w:ascii="宋体" w:hAnsi="宋体" w:eastAsia="宋体" w:cs="宋体"/>
          <w:kern w:val="0"/>
          <w:sz w:val="24"/>
          <w:szCs w:val="24"/>
          <w:highlight w:val="none"/>
          <w:lang w:val="en-US" w:eastAsia="zh-CN"/>
        </w:rPr>
        <w:t>等</w:t>
      </w:r>
      <w:r>
        <w:rPr>
          <w:rFonts w:hint="eastAsia" w:ascii="宋体" w:hAnsi="宋体" w:eastAsia="宋体" w:cs="宋体"/>
          <w:kern w:val="0"/>
          <w:sz w:val="24"/>
          <w:szCs w:val="24"/>
          <w:highlight w:val="none"/>
          <w:lang w:val="zh-CN" w:eastAsia="zh-CN"/>
        </w:rPr>
        <w:t>。具有项目服务的能力，保证能及时对服务项目提供实施服务与建议。</w:t>
      </w:r>
    </w:p>
    <w:p w14:paraId="181DF4DF">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4.在近三年的商业活动中无违法、违规、违纪行为。</w:t>
      </w:r>
    </w:p>
    <w:p w14:paraId="393C1D8B">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5.本项目不接受联合体参与。</w:t>
      </w:r>
    </w:p>
    <w:p w14:paraId="1D6FC85E">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en-US" w:eastAsia="zh-CN"/>
        </w:rPr>
        <w:t>6.单位负责人为同一人或者存在直接控股、管理关系的不同供应商，不得参加同一项目报价, 一经发现按废标处理并标记为不诚信供应商。</w:t>
      </w:r>
    </w:p>
    <w:p w14:paraId="41BABD28">
      <w:pPr>
        <w:keepLines w:val="0"/>
        <w:pageBreakBefore w:val="0"/>
        <w:tabs>
          <w:tab w:val="left" w:pos="450"/>
          <w:tab w:val="left" w:pos="4770"/>
        </w:tabs>
        <w:kinsoku/>
        <w:wordWrap/>
        <w:overflowPunct/>
        <w:topLinePunct w:val="0"/>
        <w:autoSpaceDE w:val="0"/>
        <w:autoSpaceDN w:val="0"/>
        <w:bidi w:val="0"/>
        <w:adjustRightInd w:val="0"/>
        <w:spacing w:line="360" w:lineRule="auto"/>
        <w:ind w:firstLine="482" w:firstLineChars="200"/>
        <w:jc w:val="both"/>
        <w:rPr>
          <w:rFonts w:hint="eastAsia" w:ascii="宋体" w:hAnsi="宋体" w:eastAsia="宋体" w:cs="宋体"/>
          <w:bCs/>
          <w:sz w:val="24"/>
          <w:szCs w:val="24"/>
          <w:highlight w:val="none"/>
        </w:rPr>
      </w:pPr>
      <w:r>
        <w:rPr>
          <w:rFonts w:hint="eastAsia" w:ascii="宋体" w:hAnsi="宋体" w:cs="宋体"/>
          <w:b/>
          <w:bCs/>
          <w:sz w:val="24"/>
          <w:szCs w:val="24"/>
          <w:highlight w:val="none"/>
          <w:lang w:val="en-US" w:eastAsia="zh-CN"/>
        </w:rPr>
        <w:t>三</w:t>
      </w:r>
      <w:r>
        <w:rPr>
          <w:rFonts w:hint="eastAsia" w:ascii="宋体" w:hAnsi="宋体" w:eastAsia="宋体" w:cs="宋体"/>
          <w:b/>
          <w:bCs/>
          <w:sz w:val="24"/>
          <w:szCs w:val="24"/>
          <w:highlight w:val="none"/>
        </w:rPr>
        <w:t>、项目要求</w:t>
      </w:r>
    </w:p>
    <w:p w14:paraId="4E9979A4">
      <w:pPr>
        <w:keepLines w:val="0"/>
        <w:pageBreakBefore w:val="0"/>
        <w:tabs>
          <w:tab w:val="left" w:pos="450"/>
          <w:tab w:val="left" w:pos="4770"/>
        </w:tabs>
        <w:kinsoku/>
        <w:wordWrap/>
        <w:overflowPunct/>
        <w:topLinePunct w:val="0"/>
        <w:autoSpaceDE w:val="0"/>
        <w:autoSpaceDN w:val="0"/>
        <w:bidi w:val="0"/>
        <w:adjustRightInd w:val="0"/>
        <w:spacing w:line="360" w:lineRule="auto"/>
        <w:ind w:firstLine="482" w:firstLineChars="200"/>
        <w:jc w:val="both"/>
        <w:rPr>
          <w:rFonts w:hint="eastAsia" w:ascii="宋体" w:hAnsi="宋体" w:eastAsia="宋体" w:cs="宋体"/>
          <w:b/>
          <w:bCs/>
          <w:kern w:val="0"/>
          <w:sz w:val="24"/>
          <w:szCs w:val="24"/>
          <w:highlight w:val="none"/>
          <w:lang w:val="zh-CN"/>
        </w:rPr>
      </w:pPr>
      <w:r>
        <w:rPr>
          <w:rFonts w:hint="eastAsia" w:ascii="宋体" w:hAnsi="宋体" w:eastAsia="宋体" w:cs="宋体"/>
          <w:b/>
          <w:bCs/>
          <w:kern w:val="0"/>
          <w:sz w:val="24"/>
          <w:szCs w:val="24"/>
          <w:highlight w:val="none"/>
          <w:lang w:val="zh-CN"/>
        </w:rPr>
        <w:t>（一）项目主要要求</w:t>
      </w:r>
    </w:p>
    <w:p w14:paraId="7A72A02B">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在服务期间内，采购人将根据实际情况向供应商采购其所需服务，但采购人不保证向具体维修数额。供应商须承诺，在服务期限内，给予采购人享受最优惠待遇，即在合同期内，若给予其他同类客户更优惠的待遇，应通知采购人同时享受。车辆服务项目必须满足需求，甲方可接受乙方的外包政策，例如项目的</w:t>
      </w:r>
      <w:r>
        <w:rPr>
          <w:rFonts w:hint="eastAsia" w:ascii="宋体" w:hAnsi="宋体" w:eastAsia="宋体" w:cs="宋体"/>
          <w:kern w:val="0"/>
          <w:sz w:val="24"/>
          <w:szCs w:val="24"/>
          <w:highlight w:val="none"/>
        </w:rPr>
        <w:t>轮胎、美容、钣金、喷漆、四轮定位、出保险等</w:t>
      </w:r>
      <w:r>
        <w:rPr>
          <w:rFonts w:hint="eastAsia" w:ascii="宋体" w:hAnsi="宋体" w:eastAsia="宋体" w:cs="宋体"/>
          <w:kern w:val="0"/>
          <w:sz w:val="24"/>
          <w:szCs w:val="24"/>
          <w:highlight w:val="none"/>
          <w:lang w:val="zh-CN"/>
        </w:rPr>
        <w:t>，报价价格需低于市场价，开票税点不得高于税局规定的额度</w:t>
      </w:r>
      <w:r>
        <w:rPr>
          <w:rFonts w:hint="eastAsia" w:ascii="宋体" w:hAnsi="宋体" w:cs="宋体"/>
          <w:kern w:val="0"/>
          <w:sz w:val="24"/>
          <w:szCs w:val="24"/>
          <w:highlight w:val="none"/>
          <w:lang w:val="zh-CN"/>
        </w:rPr>
        <w:t>。</w:t>
      </w:r>
      <w:r>
        <w:rPr>
          <w:rFonts w:hint="eastAsia" w:ascii="宋体" w:hAnsi="宋体" w:eastAsia="宋体" w:cs="宋体"/>
          <w:kern w:val="0"/>
          <w:sz w:val="24"/>
          <w:szCs w:val="24"/>
          <w:highlight w:val="none"/>
          <w:lang w:val="zh-CN"/>
        </w:rPr>
        <w:t>（注：协议供货资格的取得并不意味着货物/服务的售出，采购人无法预计也无法保证向供应商分别采购的数量）。</w:t>
      </w:r>
    </w:p>
    <w:p w14:paraId="3B0FD439">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b/>
          <w:kern w:val="2"/>
          <w:sz w:val="24"/>
          <w:szCs w:val="24"/>
          <w:highlight w:val="none"/>
        </w:rPr>
      </w:pPr>
      <w:r>
        <w:rPr>
          <w:rFonts w:hint="eastAsia" w:ascii="宋体" w:hAnsi="宋体" w:eastAsia="宋体" w:cs="宋体"/>
          <w:kern w:val="0"/>
          <w:sz w:val="24"/>
          <w:szCs w:val="24"/>
          <w:highlight w:val="none"/>
          <w:lang w:val="zh-CN"/>
        </w:rPr>
        <w:t>2.车辆情况如下：</w:t>
      </w:r>
    </w:p>
    <w:tbl>
      <w:tblPr>
        <w:tblStyle w:val="43"/>
        <w:tblW w:w="10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321"/>
        <w:gridCol w:w="3067"/>
        <w:gridCol w:w="1275"/>
        <w:gridCol w:w="1024"/>
        <w:gridCol w:w="1526"/>
        <w:gridCol w:w="1275"/>
      </w:tblGrid>
      <w:tr w14:paraId="3B31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23" w:type="dxa"/>
            <w:vAlign w:val="center"/>
          </w:tcPr>
          <w:p w14:paraId="208F1B37">
            <w:pPr>
              <w:pStyle w:val="38"/>
              <w:keepLines w:val="0"/>
              <w:pageBreakBefore w:val="0"/>
              <w:widowControl w:val="0"/>
              <w:tabs>
                <w:tab w:val="left" w:pos="540"/>
              </w:tabs>
              <w:kinsoku/>
              <w:wordWrap/>
              <w:overflowPunct/>
              <w:topLinePunct w:val="0"/>
              <w:bidi w:val="0"/>
              <w:adjustRightInd w:val="0"/>
              <w:snapToGrid w:val="0"/>
              <w:spacing w:before="0" w:beforeAutospacing="0" w:after="0" w:afterAutospacing="0" w:line="360" w:lineRule="auto"/>
              <w:jc w:val="center"/>
              <w:rPr>
                <w:rFonts w:hint="eastAsia" w:ascii="宋体" w:hAnsi="宋体" w:eastAsia="宋体" w:cs="宋体"/>
                <w:b/>
                <w:kern w:val="2"/>
                <w:sz w:val="24"/>
                <w:szCs w:val="24"/>
                <w:highlight w:val="none"/>
              </w:rPr>
            </w:pPr>
            <w:r>
              <w:rPr>
                <w:rFonts w:hint="eastAsia" w:ascii="宋体" w:hAnsi="宋体" w:eastAsia="宋体" w:cs="宋体"/>
                <w:b/>
                <w:color w:val="000000"/>
                <w:sz w:val="24"/>
                <w:szCs w:val="24"/>
                <w:highlight w:val="none"/>
              </w:rPr>
              <w:t>序号</w:t>
            </w:r>
          </w:p>
        </w:tc>
        <w:tc>
          <w:tcPr>
            <w:tcW w:w="1321" w:type="dxa"/>
            <w:vAlign w:val="center"/>
          </w:tcPr>
          <w:p w14:paraId="2DCCEA47">
            <w:pPr>
              <w:pStyle w:val="38"/>
              <w:keepLines w:val="0"/>
              <w:pageBreakBefore w:val="0"/>
              <w:widowControl w:val="0"/>
              <w:tabs>
                <w:tab w:val="left" w:pos="540"/>
              </w:tabs>
              <w:kinsoku/>
              <w:wordWrap/>
              <w:overflowPunct/>
              <w:topLinePunct w:val="0"/>
              <w:bidi w:val="0"/>
              <w:adjustRightInd w:val="0"/>
              <w:snapToGrid w:val="0"/>
              <w:spacing w:before="0" w:beforeAutospacing="0" w:after="0" w:afterAutospacing="0"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车牌</w:t>
            </w:r>
          </w:p>
        </w:tc>
        <w:tc>
          <w:tcPr>
            <w:tcW w:w="3067" w:type="dxa"/>
            <w:vAlign w:val="center"/>
          </w:tcPr>
          <w:p w14:paraId="44F1A004">
            <w:pPr>
              <w:pStyle w:val="38"/>
              <w:keepLines w:val="0"/>
              <w:pageBreakBefore w:val="0"/>
              <w:widowControl w:val="0"/>
              <w:tabs>
                <w:tab w:val="left" w:pos="540"/>
              </w:tabs>
              <w:kinsoku/>
              <w:wordWrap/>
              <w:overflowPunct/>
              <w:topLinePunct w:val="0"/>
              <w:bidi w:val="0"/>
              <w:adjustRightInd w:val="0"/>
              <w:snapToGrid w:val="0"/>
              <w:spacing w:before="0" w:beforeAutospacing="0" w:after="0" w:afterAutospacing="0"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品牌型号</w:t>
            </w:r>
          </w:p>
        </w:tc>
        <w:tc>
          <w:tcPr>
            <w:tcW w:w="1275" w:type="dxa"/>
            <w:vAlign w:val="center"/>
          </w:tcPr>
          <w:p w14:paraId="4B231CC0">
            <w:pPr>
              <w:pStyle w:val="38"/>
              <w:keepLines w:val="0"/>
              <w:pageBreakBefore w:val="0"/>
              <w:widowControl w:val="0"/>
              <w:tabs>
                <w:tab w:val="left" w:pos="540"/>
              </w:tabs>
              <w:kinsoku/>
              <w:wordWrap/>
              <w:overflowPunct/>
              <w:topLinePunct w:val="0"/>
              <w:bidi w:val="0"/>
              <w:adjustRightInd w:val="0"/>
              <w:snapToGrid w:val="0"/>
              <w:spacing w:before="0" w:beforeAutospacing="0" w:after="0" w:afterAutospacing="0"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发动机</w:t>
            </w:r>
          </w:p>
          <w:p w14:paraId="2BC01C1D">
            <w:pPr>
              <w:pStyle w:val="38"/>
              <w:keepLines w:val="0"/>
              <w:pageBreakBefore w:val="0"/>
              <w:widowControl w:val="0"/>
              <w:tabs>
                <w:tab w:val="left" w:pos="540"/>
              </w:tabs>
              <w:kinsoku/>
              <w:wordWrap/>
              <w:overflowPunct/>
              <w:topLinePunct w:val="0"/>
              <w:bidi w:val="0"/>
              <w:adjustRightInd w:val="0"/>
              <w:snapToGrid w:val="0"/>
              <w:spacing w:before="0" w:beforeAutospacing="0" w:after="0" w:afterAutospacing="0"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燃油类别</w:t>
            </w:r>
          </w:p>
        </w:tc>
        <w:tc>
          <w:tcPr>
            <w:tcW w:w="1024" w:type="dxa"/>
            <w:vAlign w:val="center"/>
          </w:tcPr>
          <w:p w14:paraId="64E876F2">
            <w:pPr>
              <w:pStyle w:val="38"/>
              <w:keepLines w:val="0"/>
              <w:pageBreakBefore w:val="0"/>
              <w:widowControl w:val="0"/>
              <w:tabs>
                <w:tab w:val="left" w:pos="540"/>
              </w:tabs>
              <w:kinsoku/>
              <w:wordWrap/>
              <w:overflowPunct/>
              <w:topLinePunct w:val="0"/>
              <w:bidi w:val="0"/>
              <w:adjustRightInd w:val="0"/>
              <w:snapToGrid w:val="0"/>
              <w:spacing w:before="0" w:beforeAutospacing="0" w:after="0" w:afterAutospacing="0" w:line="360" w:lineRule="auto"/>
              <w:jc w:val="center"/>
              <w:rPr>
                <w:rFonts w:hint="eastAsia" w:ascii="宋体" w:hAnsi="宋体" w:eastAsia="宋体" w:cs="宋体"/>
                <w:b/>
                <w:color w:val="000000"/>
                <w:sz w:val="24"/>
                <w:szCs w:val="24"/>
                <w:highlight w:val="none"/>
                <w:lang w:val="en-US" w:eastAsia="zh-CN"/>
              </w:rPr>
            </w:pPr>
            <w:r>
              <w:rPr>
                <w:rFonts w:hint="eastAsia" w:cs="宋体"/>
                <w:b/>
                <w:color w:val="000000"/>
                <w:sz w:val="24"/>
                <w:szCs w:val="24"/>
                <w:highlight w:val="none"/>
                <w:lang w:val="en-US" w:eastAsia="zh-CN"/>
              </w:rPr>
              <w:t>排量</w:t>
            </w:r>
          </w:p>
        </w:tc>
        <w:tc>
          <w:tcPr>
            <w:tcW w:w="1526" w:type="dxa"/>
            <w:vAlign w:val="center"/>
          </w:tcPr>
          <w:p w14:paraId="1BE0A2C0">
            <w:pPr>
              <w:pStyle w:val="38"/>
              <w:keepLines w:val="0"/>
              <w:pageBreakBefore w:val="0"/>
              <w:widowControl w:val="0"/>
              <w:tabs>
                <w:tab w:val="left" w:pos="540"/>
              </w:tabs>
              <w:kinsoku/>
              <w:wordWrap/>
              <w:overflowPunct/>
              <w:topLinePunct w:val="0"/>
              <w:bidi w:val="0"/>
              <w:adjustRightInd w:val="0"/>
              <w:snapToGrid w:val="0"/>
              <w:spacing w:before="0" w:beforeAutospacing="0" w:after="0" w:afterAutospacing="0" w:line="360" w:lineRule="auto"/>
              <w:jc w:val="center"/>
              <w:rPr>
                <w:rFonts w:hint="default" w:ascii="宋体" w:hAnsi="宋体" w:eastAsia="宋体" w:cs="宋体"/>
                <w:b/>
                <w:color w:val="000000"/>
                <w:sz w:val="24"/>
                <w:szCs w:val="24"/>
                <w:highlight w:val="none"/>
                <w:lang w:val="en-US" w:eastAsia="zh-CN"/>
              </w:rPr>
            </w:pPr>
            <w:r>
              <w:rPr>
                <w:rFonts w:hint="eastAsia" w:cs="宋体"/>
                <w:b/>
                <w:color w:val="000000"/>
                <w:sz w:val="24"/>
                <w:szCs w:val="24"/>
                <w:highlight w:val="none"/>
                <w:lang w:val="en-US" w:eastAsia="zh-CN"/>
              </w:rPr>
              <w:t>购置时间</w:t>
            </w:r>
          </w:p>
        </w:tc>
        <w:tc>
          <w:tcPr>
            <w:tcW w:w="1275" w:type="dxa"/>
            <w:shd w:val="clear" w:color="auto" w:fill="auto"/>
            <w:vAlign w:val="center"/>
          </w:tcPr>
          <w:p w14:paraId="3E96A67A">
            <w:pPr>
              <w:pStyle w:val="38"/>
              <w:keepLines w:val="0"/>
              <w:pageBreakBefore w:val="0"/>
              <w:widowControl w:val="0"/>
              <w:tabs>
                <w:tab w:val="left" w:pos="540"/>
              </w:tabs>
              <w:kinsoku/>
              <w:wordWrap/>
              <w:overflowPunct/>
              <w:topLinePunct w:val="0"/>
              <w:bidi w:val="0"/>
              <w:adjustRightInd w:val="0"/>
              <w:snapToGrid w:val="0"/>
              <w:spacing w:before="0" w:beforeAutospacing="0" w:after="0" w:afterAutospacing="0" w:line="360" w:lineRule="auto"/>
              <w:jc w:val="center"/>
              <w:rPr>
                <w:rFonts w:hint="eastAsia" w:ascii="宋体" w:hAnsi="宋体" w:eastAsia="宋体" w:cs="宋体"/>
                <w:b/>
                <w:color w:val="000000"/>
                <w:kern w:val="0"/>
                <w:sz w:val="24"/>
                <w:szCs w:val="24"/>
                <w:highlight w:val="none"/>
                <w:lang w:val="en-US" w:eastAsia="zh-CN" w:bidi="ar-SA"/>
              </w:rPr>
            </w:pPr>
            <w:r>
              <w:rPr>
                <w:rFonts w:hint="eastAsia" w:ascii="宋体" w:hAnsi="宋体" w:eastAsia="宋体" w:cs="宋体"/>
                <w:b/>
                <w:color w:val="000000"/>
                <w:sz w:val="24"/>
                <w:szCs w:val="24"/>
                <w:highlight w:val="none"/>
              </w:rPr>
              <w:t>备注</w:t>
            </w:r>
          </w:p>
        </w:tc>
      </w:tr>
      <w:tr w14:paraId="69B6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6D7820F">
            <w:pPr>
              <w:pStyle w:val="38"/>
              <w:keepLines w:val="0"/>
              <w:pageBreakBefore w:val="0"/>
              <w:widowControl w:val="0"/>
              <w:tabs>
                <w:tab w:val="left" w:pos="540"/>
              </w:tabs>
              <w:kinsoku/>
              <w:wordWrap/>
              <w:overflowPunct/>
              <w:topLinePunct w:val="0"/>
              <w:bidi w:val="0"/>
              <w:adjustRightInd w:val="0"/>
              <w:snapToGrid w:val="0"/>
              <w:spacing w:before="0" w:beforeAutospacing="0" w:after="0" w:afterAutospacing="0" w:line="360" w:lineRule="auto"/>
              <w:jc w:val="center"/>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1</w:t>
            </w:r>
          </w:p>
        </w:tc>
        <w:tc>
          <w:tcPr>
            <w:tcW w:w="1321" w:type="dxa"/>
            <w:vAlign w:val="center"/>
          </w:tcPr>
          <w:p w14:paraId="0B3A98E7">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粤X0</w:t>
            </w:r>
            <w:r>
              <w:rPr>
                <w:rFonts w:hint="eastAsia" w:ascii="宋体" w:hAnsi="宋体" w:eastAsia="宋体" w:cs="宋体"/>
                <w:color w:val="000000"/>
                <w:sz w:val="24"/>
                <w:szCs w:val="24"/>
                <w:highlight w:val="none"/>
                <w:lang w:val="en-US" w:eastAsia="zh-CN"/>
              </w:rPr>
              <w:t>3879</w:t>
            </w:r>
          </w:p>
        </w:tc>
        <w:tc>
          <w:tcPr>
            <w:tcW w:w="3067" w:type="dxa"/>
            <w:vAlign w:val="center"/>
          </w:tcPr>
          <w:p w14:paraId="30339590">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雅阁HG7201(ACCORD</w:t>
            </w:r>
            <w:r>
              <w:rPr>
                <w:rFonts w:hint="eastAsia" w:ascii="宋体" w:hAnsi="宋体" w:eastAsia="宋体" w:cs="宋体"/>
                <w:color w:val="000000"/>
                <w:sz w:val="24"/>
                <w:szCs w:val="24"/>
                <w:highlight w:val="none"/>
                <w:lang w:val="en-US" w:eastAsia="zh-CN"/>
              </w:rPr>
              <w:t>2.01/VTEC</w:t>
            </w:r>
            <w:r>
              <w:rPr>
                <w:rFonts w:hint="eastAsia" w:ascii="宋体" w:hAnsi="宋体" w:eastAsia="宋体" w:cs="宋体"/>
                <w:color w:val="000000"/>
                <w:sz w:val="24"/>
                <w:szCs w:val="24"/>
                <w:highlight w:val="none"/>
              </w:rPr>
              <w:t>)轿车</w:t>
            </w:r>
          </w:p>
        </w:tc>
        <w:tc>
          <w:tcPr>
            <w:tcW w:w="1275" w:type="dxa"/>
            <w:vAlign w:val="center"/>
          </w:tcPr>
          <w:p w14:paraId="74447102">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汽油</w:t>
            </w:r>
          </w:p>
        </w:tc>
        <w:tc>
          <w:tcPr>
            <w:tcW w:w="1024" w:type="dxa"/>
            <w:vAlign w:val="center"/>
          </w:tcPr>
          <w:p w14:paraId="657DF998">
            <w:pPr>
              <w:keepLines w:val="0"/>
              <w:pageBreakBefore w:val="0"/>
              <w:widowControl/>
              <w:kinsoku/>
              <w:wordWrap/>
              <w:overflowPunct/>
              <w:topLinePunct w:val="0"/>
              <w:bidi w:val="0"/>
              <w:spacing w:line="360" w:lineRule="auto"/>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2.0</w:t>
            </w:r>
          </w:p>
        </w:tc>
        <w:tc>
          <w:tcPr>
            <w:tcW w:w="1526" w:type="dxa"/>
            <w:shd w:val="clear" w:color="auto" w:fill="auto"/>
            <w:vAlign w:val="center"/>
          </w:tcPr>
          <w:p w14:paraId="6109529B">
            <w:pPr>
              <w:keepLines w:val="0"/>
              <w:pageBreakBefore w:val="0"/>
              <w:widowControl/>
              <w:kinsoku/>
              <w:wordWrap/>
              <w:overflowPunct/>
              <w:topLinePunct w:val="0"/>
              <w:bidi w:val="0"/>
              <w:spacing w:line="360" w:lineRule="auto"/>
              <w:jc w:val="center"/>
              <w:textAlignment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2004年4月</w:t>
            </w:r>
          </w:p>
        </w:tc>
        <w:tc>
          <w:tcPr>
            <w:tcW w:w="1275" w:type="dxa"/>
            <w:shd w:val="clear" w:color="auto" w:fill="auto"/>
            <w:vAlign w:val="center"/>
          </w:tcPr>
          <w:p w14:paraId="26EA2722">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rPr>
              <w:t>正常使用</w:t>
            </w:r>
          </w:p>
        </w:tc>
      </w:tr>
      <w:tr w14:paraId="2DE6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4719D8A">
            <w:pPr>
              <w:pStyle w:val="38"/>
              <w:keepLines w:val="0"/>
              <w:pageBreakBefore w:val="0"/>
              <w:widowControl w:val="0"/>
              <w:tabs>
                <w:tab w:val="left" w:pos="540"/>
              </w:tabs>
              <w:kinsoku/>
              <w:wordWrap/>
              <w:overflowPunct/>
              <w:topLinePunct w:val="0"/>
              <w:bidi w:val="0"/>
              <w:adjustRightInd w:val="0"/>
              <w:snapToGrid w:val="0"/>
              <w:spacing w:before="0" w:beforeAutospacing="0" w:after="0" w:afterAutospacing="0" w:line="360" w:lineRule="auto"/>
              <w:jc w:val="center"/>
              <w:rPr>
                <w:rFonts w:hint="eastAsia" w:ascii="宋体" w:hAnsi="宋体" w:eastAsia="宋体" w:cs="宋体"/>
                <w:b/>
                <w:kern w:val="2"/>
                <w:sz w:val="24"/>
                <w:szCs w:val="24"/>
                <w:highlight w:val="none"/>
                <w:lang w:eastAsia="zh-CN"/>
              </w:rPr>
            </w:pPr>
            <w:r>
              <w:rPr>
                <w:rFonts w:hint="eastAsia" w:cs="宋体"/>
                <w:b/>
                <w:kern w:val="2"/>
                <w:sz w:val="24"/>
                <w:szCs w:val="24"/>
                <w:highlight w:val="none"/>
                <w:lang w:val="en-US" w:eastAsia="zh-CN"/>
              </w:rPr>
              <w:t>2</w:t>
            </w:r>
          </w:p>
        </w:tc>
        <w:tc>
          <w:tcPr>
            <w:tcW w:w="1321" w:type="dxa"/>
            <w:vAlign w:val="center"/>
          </w:tcPr>
          <w:p w14:paraId="4CE76ACD">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粤XNQ111</w:t>
            </w:r>
          </w:p>
        </w:tc>
        <w:tc>
          <w:tcPr>
            <w:tcW w:w="3067" w:type="dxa"/>
            <w:vAlign w:val="center"/>
          </w:tcPr>
          <w:p w14:paraId="1CBBB683">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别克SGM6515ATA旅行车</w:t>
            </w:r>
          </w:p>
        </w:tc>
        <w:tc>
          <w:tcPr>
            <w:tcW w:w="1275" w:type="dxa"/>
            <w:vAlign w:val="center"/>
          </w:tcPr>
          <w:p w14:paraId="623BB1C4">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汽油</w:t>
            </w:r>
          </w:p>
        </w:tc>
        <w:tc>
          <w:tcPr>
            <w:tcW w:w="1024" w:type="dxa"/>
            <w:vAlign w:val="center"/>
          </w:tcPr>
          <w:p w14:paraId="1B96DCAF">
            <w:pPr>
              <w:keepLines w:val="0"/>
              <w:pageBreakBefore w:val="0"/>
              <w:widowControl/>
              <w:kinsoku/>
              <w:wordWrap/>
              <w:overflowPunct/>
              <w:topLinePunct w:val="0"/>
              <w:bidi w:val="0"/>
              <w:spacing w:line="360" w:lineRule="auto"/>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2.4</w:t>
            </w:r>
          </w:p>
        </w:tc>
        <w:tc>
          <w:tcPr>
            <w:tcW w:w="1526" w:type="dxa"/>
            <w:shd w:val="clear" w:color="auto" w:fill="auto"/>
            <w:vAlign w:val="center"/>
          </w:tcPr>
          <w:p w14:paraId="51863FCB">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2009年7月</w:t>
            </w:r>
          </w:p>
        </w:tc>
        <w:tc>
          <w:tcPr>
            <w:tcW w:w="1275" w:type="dxa"/>
            <w:shd w:val="clear" w:color="auto" w:fill="auto"/>
            <w:vAlign w:val="center"/>
          </w:tcPr>
          <w:p w14:paraId="13925BDA">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rPr>
              <w:t>正常使用</w:t>
            </w:r>
          </w:p>
        </w:tc>
      </w:tr>
      <w:tr w14:paraId="69F8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8F4EC6F">
            <w:pPr>
              <w:pStyle w:val="38"/>
              <w:keepLines w:val="0"/>
              <w:pageBreakBefore w:val="0"/>
              <w:widowControl w:val="0"/>
              <w:tabs>
                <w:tab w:val="left" w:pos="540"/>
              </w:tabs>
              <w:kinsoku/>
              <w:wordWrap/>
              <w:overflowPunct/>
              <w:topLinePunct w:val="0"/>
              <w:bidi w:val="0"/>
              <w:adjustRightInd w:val="0"/>
              <w:snapToGrid w:val="0"/>
              <w:spacing w:before="0" w:beforeAutospacing="0" w:after="0" w:afterAutospacing="0" w:line="360" w:lineRule="auto"/>
              <w:jc w:val="center"/>
              <w:rPr>
                <w:rFonts w:hint="eastAsia" w:ascii="宋体" w:hAnsi="宋体" w:eastAsia="宋体" w:cs="宋体"/>
                <w:b/>
                <w:kern w:val="2"/>
                <w:sz w:val="24"/>
                <w:szCs w:val="24"/>
                <w:highlight w:val="none"/>
                <w:lang w:val="en-US" w:eastAsia="zh-CN"/>
              </w:rPr>
            </w:pPr>
            <w:r>
              <w:rPr>
                <w:rFonts w:hint="eastAsia" w:cs="宋体"/>
                <w:b/>
                <w:kern w:val="2"/>
                <w:sz w:val="24"/>
                <w:szCs w:val="24"/>
                <w:highlight w:val="none"/>
                <w:lang w:val="en-US" w:eastAsia="zh-CN"/>
              </w:rPr>
              <w:t>3</w:t>
            </w:r>
          </w:p>
        </w:tc>
        <w:tc>
          <w:tcPr>
            <w:tcW w:w="1321" w:type="dxa"/>
            <w:shd w:val="clear" w:color="auto" w:fill="auto"/>
            <w:vAlign w:val="center"/>
          </w:tcPr>
          <w:p w14:paraId="7FFAD31A">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粤ET</w:t>
            </w:r>
            <w:r>
              <w:rPr>
                <w:rFonts w:hint="eastAsia" w:ascii="宋体" w:hAnsi="宋体" w:eastAsia="宋体" w:cs="宋体"/>
                <w:color w:val="000000"/>
                <w:sz w:val="24"/>
                <w:szCs w:val="24"/>
                <w:highlight w:val="none"/>
                <w:lang w:val="en-US" w:eastAsia="zh-CN"/>
              </w:rPr>
              <w:t>603N</w:t>
            </w:r>
          </w:p>
        </w:tc>
        <w:tc>
          <w:tcPr>
            <w:tcW w:w="3067" w:type="dxa"/>
            <w:shd w:val="clear" w:color="auto" w:fill="auto"/>
            <w:vAlign w:val="center"/>
          </w:tcPr>
          <w:p w14:paraId="5A1ABC8B">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金杯SY65</w:t>
            </w:r>
            <w:r>
              <w:rPr>
                <w:rFonts w:hint="eastAsia" w:ascii="宋体" w:hAnsi="宋体" w:eastAsia="宋体" w:cs="宋体"/>
                <w:color w:val="000000"/>
                <w:sz w:val="24"/>
                <w:szCs w:val="24"/>
                <w:highlight w:val="none"/>
                <w:lang w:val="en-US" w:eastAsia="zh-CN"/>
              </w:rPr>
              <w:t>42HISI</w:t>
            </w:r>
            <w:r>
              <w:rPr>
                <w:rFonts w:hint="eastAsia" w:ascii="宋体" w:hAnsi="宋体" w:eastAsia="宋体" w:cs="宋体"/>
                <w:color w:val="000000"/>
                <w:sz w:val="24"/>
                <w:szCs w:val="24"/>
                <w:highlight w:val="none"/>
              </w:rPr>
              <w:t>BG多用途乘用车</w:t>
            </w:r>
          </w:p>
        </w:tc>
        <w:tc>
          <w:tcPr>
            <w:tcW w:w="1275" w:type="dxa"/>
            <w:shd w:val="clear" w:color="auto" w:fill="auto"/>
            <w:vAlign w:val="center"/>
          </w:tcPr>
          <w:p w14:paraId="049BEF92">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汽油</w:t>
            </w:r>
          </w:p>
        </w:tc>
        <w:tc>
          <w:tcPr>
            <w:tcW w:w="1024" w:type="dxa"/>
            <w:shd w:val="clear" w:color="auto" w:fill="auto"/>
            <w:vAlign w:val="center"/>
          </w:tcPr>
          <w:p w14:paraId="446DBEA4">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rPr>
              <w:t>2.4</w:t>
            </w:r>
          </w:p>
        </w:tc>
        <w:tc>
          <w:tcPr>
            <w:tcW w:w="1526" w:type="dxa"/>
            <w:shd w:val="clear" w:color="auto" w:fill="auto"/>
            <w:vAlign w:val="center"/>
          </w:tcPr>
          <w:p w14:paraId="3C165415">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2018年12月</w:t>
            </w:r>
          </w:p>
        </w:tc>
        <w:tc>
          <w:tcPr>
            <w:tcW w:w="1275" w:type="dxa"/>
            <w:shd w:val="clear" w:color="auto" w:fill="auto"/>
            <w:vAlign w:val="center"/>
          </w:tcPr>
          <w:p w14:paraId="0794707D">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rPr>
              <w:t>正常使用</w:t>
            </w:r>
          </w:p>
        </w:tc>
      </w:tr>
      <w:tr w14:paraId="6C69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1D0838E">
            <w:pPr>
              <w:pStyle w:val="38"/>
              <w:keepLines w:val="0"/>
              <w:pageBreakBefore w:val="0"/>
              <w:widowControl w:val="0"/>
              <w:tabs>
                <w:tab w:val="left" w:pos="540"/>
              </w:tabs>
              <w:kinsoku/>
              <w:wordWrap/>
              <w:overflowPunct/>
              <w:topLinePunct w:val="0"/>
              <w:bidi w:val="0"/>
              <w:adjustRightInd w:val="0"/>
              <w:snapToGrid w:val="0"/>
              <w:spacing w:before="0" w:beforeAutospacing="0" w:after="0" w:afterAutospacing="0" w:line="360" w:lineRule="auto"/>
              <w:jc w:val="center"/>
              <w:rPr>
                <w:rFonts w:hint="default" w:cs="宋体"/>
                <w:b/>
                <w:kern w:val="2"/>
                <w:sz w:val="24"/>
                <w:szCs w:val="24"/>
                <w:highlight w:val="none"/>
                <w:lang w:val="en-US" w:eastAsia="zh-CN"/>
              </w:rPr>
            </w:pPr>
            <w:r>
              <w:rPr>
                <w:rFonts w:hint="eastAsia" w:cs="宋体"/>
                <w:b/>
                <w:kern w:val="2"/>
                <w:sz w:val="24"/>
                <w:szCs w:val="24"/>
                <w:highlight w:val="none"/>
                <w:lang w:val="en-US" w:eastAsia="zh-CN"/>
              </w:rPr>
              <w:t>4</w:t>
            </w:r>
          </w:p>
        </w:tc>
        <w:tc>
          <w:tcPr>
            <w:tcW w:w="1321" w:type="dxa"/>
            <w:shd w:val="clear" w:color="auto" w:fill="auto"/>
            <w:vAlign w:val="center"/>
          </w:tcPr>
          <w:p w14:paraId="0D3456A1">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粤X</w:t>
            </w:r>
            <w:r>
              <w:rPr>
                <w:rFonts w:hint="eastAsia" w:ascii="宋体" w:hAnsi="宋体" w:eastAsia="宋体" w:cs="宋体"/>
                <w:color w:val="000000"/>
                <w:sz w:val="24"/>
                <w:szCs w:val="24"/>
                <w:highlight w:val="none"/>
                <w:lang w:val="en-US" w:eastAsia="zh-CN"/>
              </w:rPr>
              <w:t>15088</w:t>
            </w:r>
          </w:p>
        </w:tc>
        <w:tc>
          <w:tcPr>
            <w:tcW w:w="3067" w:type="dxa"/>
            <w:shd w:val="clear" w:color="auto" w:fill="auto"/>
            <w:vAlign w:val="center"/>
          </w:tcPr>
          <w:p w14:paraId="7C5DD639">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传祺GAC6480K</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M6商务车</w:t>
            </w:r>
          </w:p>
        </w:tc>
        <w:tc>
          <w:tcPr>
            <w:tcW w:w="1275" w:type="dxa"/>
            <w:shd w:val="clear" w:color="auto" w:fill="auto"/>
            <w:vAlign w:val="center"/>
          </w:tcPr>
          <w:p w14:paraId="4C189130">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汽油</w:t>
            </w:r>
          </w:p>
        </w:tc>
        <w:tc>
          <w:tcPr>
            <w:tcW w:w="1024" w:type="dxa"/>
            <w:shd w:val="clear" w:color="auto" w:fill="auto"/>
            <w:vAlign w:val="center"/>
          </w:tcPr>
          <w:p w14:paraId="6F868C3D">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rPr>
              <w:t>1.5T</w:t>
            </w:r>
          </w:p>
        </w:tc>
        <w:tc>
          <w:tcPr>
            <w:tcW w:w="1526" w:type="dxa"/>
            <w:shd w:val="clear" w:color="auto" w:fill="auto"/>
            <w:vAlign w:val="center"/>
          </w:tcPr>
          <w:p w14:paraId="30F14A16">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2021年7月</w:t>
            </w:r>
          </w:p>
        </w:tc>
        <w:tc>
          <w:tcPr>
            <w:tcW w:w="1275" w:type="dxa"/>
            <w:shd w:val="clear" w:color="auto" w:fill="auto"/>
            <w:vAlign w:val="center"/>
          </w:tcPr>
          <w:p w14:paraId="3F3A6497">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rPr>
              <w:t>正常使用</w:t>
            </w:r>
          </w:p>
        </w:tc>
      </w:tr>
      <w:tr w14:paraId="7739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AADADFE">
            <w:pPr>
              <w:pStyle w:val="38"/>
              <w:keepLines w:val="0"/>
              <w:pageBreakBefore w:val="0"/>
              <w:widowControl w:val="0"/>
              <w:tabs>
                <w:tab w:val="left" w:pos="540"/>
              </w:tabs>
              <w:kinsoku/>
              <w:wordWrap/>
              <w:overflowPunct/>
              <w:topLinePunct w:val="0"/>
              <w:bidi w:val="0"/>
              <w:adjustRightInd w:val="0"/>
              <w:snapToGrid w:val="0"/>
              <w:spacing w:before="0" w:beforeAutospacing="0" w:after="0" w:afterAutospacing="0" w:line="360" w:lineRule="auto"/>
              <w:jc w:val="center"/>
              <w:rPr>
                <w:rFonts w:hint="default" w:cs="宋体"/>
                <w:b/>
                <w:kern w:val="2"/>
                <w:sz w:val="24"/>
                <w:szCs w:val="24"/>
                <w:highlight w:val="none"/>
                <w:lang w:val="en-US" w:eastAsia="zh-CN"/>
              </w:rPr>
            </w:pPr>
            <w:r>
              <w:rPr>
                <w:rFonts w:hint="eastAsia" w:cs="宋体"/>
                <w:b/>
                <w:kern w:val="2"/>
                <w:sz w:val="24"/>
                <w:szCs w:val="24"/>
                <w:highlight w:val="none"/>
                <w:lang w:val="en-US" w:eastAsia="zh-CN"/>
              </w:rPr>
              <w:t>5</w:t>
            </w:r>
          </w:p>
        </w:tc>
        <w:tc>
          <w:tcPr>
            <w:tcW w:w="1321" w:type="dxa"/>
            <w:shd w:val="clear" w:color="auto" w:fill="auto"/>
            <w:vAlign w:val="center"/>
          </w:tcPr>
          <w:p w14:paraId="127EBD3B">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粤XG</w:t>
            </w:r>
            <w:r>
              <w:rPr>
                <w:rFonts w:hint="eastAsia" w:ascii="宋体" w:hAnsi="宋体" w:eastAsia="宋体" w:cs="宋体"/>
                <w:color w:val="000000"/>
                <w:sz w:val="24"/>
                <w:szCs w:val="24"/>
                <w:highlight w:val="none"/>
                <w:lang w:val="en-US" w:eastAsia="zh-CN"/>
              </w:rPr>
              <w:t>4590</w:t>
            </w:r>
          </w:p>
        </w:tc>
        <w:tc>
          <w:tcPr>
            <w:tcW w:w="3067" w:type="dxa"/>
            <w:shd w:val="clear" w:color="auto" w:fill="auto"/>
            <w:vAlign w:val="center"/>
          </w:tcPr>
          <w:p w14:paraId="381B0347">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江淮HFCS</w:t>
            </w:r>
            <w:r>
              <w:rPr>
                <w:rFonts w:hint="eastAsia" w:ascii="宋体" w:hAnsi="宋体" w:eastAsia="宋体" w:cs="宋体"/>
                <w:color w:val="000000"/>
                <w:sz w:val="24"/>
                <w:szCs w:val="24"/>
                <w:highlight w:val="none"/>
                <w:lang w:val="en-US" w:eastAsia="zh-CN"/>
              </w:rPr>
              <w:t>036XJH</w:t>
            </w:r>
            <w:r>
              <w:rPr>
                <w:rFonts w:hint="eastAsia" w:ascii="宋体" w:hAnsi="宋体" w:eastAsia="宋体" w:cs="宋体"/>
                <w:color w:val="000000"/>
                <w:sz w:val="24"/>
                <w:szCs w:val="24"/>
                <w:highlight w:val="none"/>
              </w:rPr>
              <w:t>救护车</w:t>
            </w:r>
          </w:p>
        </w:tc>
        <w:tc>
          <w:tcPr>
            <w:tcW w:w="1275" w:type="dxa"/>
            <w:shd w:val="clear" w:color="auto" w:fill="auto"/>
            <w:vAlign w:val="center"/>
          </w:tcPr>
          <w:p w14:paraId="0294BA9F">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汽油</w:t>
            </w:r>
          </w:p>
        </w:tc>
        <w:tc>
          <w:tcPr>
            <w:tcW w:w="1024" w:type="dxa"/>
            <w:shd w:val="clear" w:color="auto" w:fill="auto"/>
            <w:vAlign w:val="center"/>
          </w:tcPr>
          <w:p w14:paraId="3E6CA070">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rPr>
              <w:t>2.4</w:t>
            </w:r>
          </w:p>
        </w:tc>
        <w:tc>
          <w:tcPr>
            <w:tcW w:w="1526" w:type="dxa"/>
            <w:shd w:val="clear" w:color="auto" w:fill="auto"/>
            <w:vAlign w:val="center"/>
          </w:tcPr>
          <w:p w14:paraId="43B83A2E">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2005年4月</w:t>
            </w:r>
          </w:p>
        </w:tc>
        <w:tc>
          <w:tcPr>
            <w:tcW w:w="1275" w:type="dxa"/>
            <w:shd w:val="clear" w:color="auto" w:fill="auto"/>
            <w:vAlign w:val="center"/>
          </w:tcPr>
          <w:p w14:paraId="54661A6A">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rPr>
              <w:t>正常使用</w:t>
            </w:r>
          </w:p>
        </w:tc>
      </w:tr>
      <w:tr w14:paraId="2DF3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3A48768">
            <w:pPr>
              <w:pStyle w:val="38"/>
              <w:keepLines w:val="0"/>
              <w:pageBreakBefore w:val="0"/>
              <w:widowControl w:val="0"/>
              <w:tabs>
                <w:tab w:val="left" w:pos="540"/>
              </w:tabs>
              <w:kinsoku/>
              <w:wordWrap/>
              <w:overflowPunct/>
              <w:topLinePunct w:val="0"/>
              <w:bidi w:val="0"/>
              <w:adjustRightInd w:val="0"/>
              <w:snapToGrid w:val="0"/>
              <w:spacing w:before="0" w:beforeAutospacing="0" w:after="0" w:afterAutospacing="0" w:line="360" w:lineRule="auto"/>
              <w:jc w:val="center"/>
              <w:rPr>
                <w:rFonts w:hint="eastAsia" w:ascii="宋体" w:hAnsi="宋体" w:eastAsia="宋体" w:cs="宋体"/>
                <w:b/>
                <w:kern w:val="2"/>
                <w:sz w:val="24"/>
                <w:szCs w:val="24"/>
                <w:highlight w:val="none"/>
                <w:lang w:eastAsia="zh-CN"/>
              </w:rPr>
            </w:pPr>
            <w:r>
              <w:rPr>
                <w:rFonts w:hint="eastAsia" w:cs="宋体"/>
                <w:b/>
                <w:kern w:val="2"/>
                <w:sz w:val="24"/>
                <w:szCs w:val="24"/>
                <w:highlight w:val="none"/>
                <w:lang w:val="en-US" w:eastAsia="zh-CN"/>
              </w:rPr>
              <w:t>6</w:t>
            </w:r>
          </w:p>
        </w:tc>
        <w:tc>
          <w:tcPr>
            <w:tcW w:w="1321" w:type="dxa"/>
            <w:vAlign w:val="center"/>
          </w:tcPr>
          <w:p w14:paraId="50DB5154">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粤XWY120</w:t>
            </w:r>
          </w:p>
        </w:tc>
        <w:tc>
          <w:tcPr>
            <w:tcW w:w="3067" w:type="dxa"/>
            <w:vAlign w:val="center"/>
          </w:tcPr>
          <w:p w14:paraId="6DA99908">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金杯SY503</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XJHL-MSBG</w:t>
            </w:r>
            <w:bookmarkStart w:id="0" w:name="OLE_LINK4"/>
            <w:r>
              <w:rPr>
                <w:rFonts w:hint="eastAsia" w:ascii="宋体" w:hAnsi="宋体" w:eastAsia="宋体" w:cs="宋体"/>
                <w:color w:val="000000"/>
                <w:sz w:val="24"/>
                <w:szCs w:val="24"/>
                <w:highlight w:val="none"/>
              </w:rPr>
              <w:t>救护车</w:t>
            </w:r>
            <w:bookmarkEnd w:id="0"/>
          </w:p>
        </w:tc>
        <w:tc>
          <w:tcPr>
            <w:tcW w:w="1275" w:type="dxa"/>
            <w:vAlign w:val="center"/>
          </w:tcPr>
          <w:p w14:paraId="1222429F">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汽油</w:t>
            </w:r>
          </w:p>
        </w:tc>
        <w:tc>
          <w:tcPr>
            <w:tcW w:w="1024" w:type="dxa"/>
            <w:vAlign w:val="center"/>
          </w:tcPr>
          <w:p w14:paraId="0C3E2D64">
            <w:pPr>
              <w:keepLines w:val="0"/>
              <w:pageBreakBefore w:val="0"/>
              <w:widowControl/>
              <w:kinsoku/>
              <w:wordWrap/>
              <w:overflowPunct/>
              <w:topLinePunct w:val="0"/>
              <w:bidi w:val="0"/>
              <w:spacing w:line="360" w:lineRule="auto"/>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2.4</w:t>
            </w:r>
          </w:p>
        </w:tc>
        <w:tc>
          <w:tcPr>
            <w:tcW w:w="1526" w:type="dxa"/>
            <w:shd w:val="clear" w:color="auto" w:fill="auto"/>
            <w:vAlign w:val="center"/>
          </w:tcPr>
          <w:p w14:paraId="62185E88">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2014年9月</w:t>
            </w:r>
          </w:p>
        </w:tc>
        <w:tc>
          <w:tcPr>
            <w:tcW w:w="1275" w:type="dxa"/>
            <w:shd w:val="clear" w:color="auto" w:fill="auto"/>
            <w:vAlign w:val="center"/>
          </w:tcPr>
          <w:p w14:paraId="580278FC">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rPr>
              <w:t>正常使用</w:t>
            </w:r>
          </w:p>
        </w:tc>
      </w:tr>
      <w:tr w14:paraId="3A1A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23" w:type="dxa"/>
            <w:vAlign w:val="center"/>
          </w:tcPr>
          <w:p w14:paraId="11320CBD">
            <w:pPr>
              <w:pStyle w:val="38"/>
              <w:keepLines w:val="0"/>
              <w:pageBreakBefore w:val="0"/>
              <w:widowControl w:val="0"/>
              <w:tabs>
                <w:tab w:val="left" w:pos="540"/>
              </w:tabs>
              <w:kinsoku/>
              <w:wordWrap/>
              <w:overflowPunct/>
              <w:topLinePunct w:val="0"/>
              <w:bidi w:val="0"/>
              <w:adjustRightInd w:val="0"/>
              <w:snapToGrid w:val="0"/>
              <w:spacing w:before="0" w:beforeAutospacing="0" w:after="0" w:afterAutospacing="0" w:line="360" w:lineRule="auto"/>
              <w:jc w:val="center"/>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7</w:t>
            </w:r>
          </w:p>
        </w:tc>
        <w:tc>
          <w:tcPr>
            <w:tcW w:w="1321" w:type="dxa"/>
            <w:vAlign w:val="center"/>
          </w:tcPr>
          <w:p w14:paraId="622ABADB">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粤EB</w:t>
            </w:r>
            <w:r>
              <w:rPr>
                <w:rFonts w:hint="eastAsia" w:ascii="宋体" w:hAnsi="宋体" w:eastAsia="宋体" w:cs="宋体"/>
                <w:color w:val="000000"/>
                <w:sz w:val="24"/>
                <w:szCs w:val="24"/>
                <w:highlight w:val="none"/>
                <w:lang w:val="en-US" w:eastAsia="zh-CN"/>
              </w:rPr>
              <w:t>1E20</w:t>
            </w:r>
          </w:p>
        </w:tc>
        <w:tc>
          <w:tcPr>
            <w:tcW w:w="3067" w:type="dxa"/>
            <w:vAlign w:val="center"/>
          </w:tcPr>
          <w:p w14:paraId="2BCC8BBD">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华通HCQS</w:t>
            </w:r>
            <w:r>
              <w:rPr>
                <w:rFonts w:hint="eastAsia" w:ascii="宋体" w:hAnsi="宋体" w:eastAsia="宋体" w:cs="宋体"/>
                <w:color w:val="000000"/>
                <w:sz w:val="24"/>
                <w:szCs w:val="24"/>
                <w:highlight w:val="none"/>
                <w:lang w:val="en-US" w:eastAsia="zh-CN"/>
              </w:rPr>
              <w:t>48XJHJX6</w:t>
            </w:r>
            <w:r>
              <w:rPr>
                <w:rFonts w:hint="eastAsia" w:ascii="宋体" w:hAnsi="宋体" w:eastAsia="宋体" w:cs="宋体"/>
                <w:color w:val="000000"/>
                <w:sz w:val="24"/>
                <w:szCs w:val="24"/>
                <w:highlight w:val="none"/>
              </w:rPr>
              <w:t>救护车</w:t>
            </w:r>
          </w:p>
        </w:tc>
        <w:tc>
          <w:tcPr>
            <w:tcW w:w="1275" w:type="dxa"/>
            <w:vAlign w:val="center"/>
          </w:tcPr>
          <w:p w14:paraId="05A4FF23">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柴油</w:t>
            </w:r>
          </w:p>
        </w:tc>
        <w:tc>
          <w:tcPr>
            <w:tcW w:w="1024" w:type="dxa"/>
            <w:vAlign w:val="center"/>
          </w:tcPr>
          <w:p w14:paraId="30F620EE">
            <w:pPr>
              <w:keepLines w:val="0"/>
              <w:pageBreakBefore w:val="0"/>
              <w:widowControl/>
              <w:kinsoku/>
              <w:wordWrap/>
              <w:overflowPunct/>
              <w:topLinePunct w:val="0"/>
              <w:bidi w:val="0"/>
              <w:spacing w:line="360" w:lineRule="auto"/>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2.0T</w:t>
            </w:r>
          </w:p>
        </w:tc>
        <w:tc>
          <w:tcPr>
            <w:tcW w:w="1526" w:type="dxa"/>
            <w:shd w:val="clear" w:color="auto" w:fill="auto"/>
            <w:vAlign w:val="center"/>
          </w:tcPr>
          <w:p w14:paraId="30C04777">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2022年4月</w:t>
            </w:r>
          </w:p>
        </w:tc>
        <w:tc>
          <w:tcPr>
            <w:tcW w:w="1275" w:type="dxa"/>
            <w:shd w:val="clear" w:color="auto" w:fill="auto"/>
            <w:vAlign w:val="center"/>
          </w:tcPr>
          <w:p w14:paraId="0FA92AD7">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rPr>
              <w:t>正常使用</w:t>
            </w:r>
          </w:p>
        </w:tc>
      </w:tr>
    </w:tbl>
    <w:p w14:paraId="3E613CC5">
      <w:pPr>
        <w:pStyle w:val="38"/>
        <w:keepLines w:val="0"/>
        <w:pageBreakBefore w:val="0"/>
        <w:widowControl w:val="0"/>
        <w:tabs>
          <w:tab w:val="left" w:pos="540"/>
        </w:tabs>
        <w:kinsoku/>
        <w:wordWrap/>
        <w:overflowPunct/>
        <w:topLinePunct w:val="0"/>
        <w:bidi w:val="0"/>
        <w:adjustRightInd w:val="0"/>
        <w:snapToGrid w:val="0"/>
        <w:spacing w:before="0" w:beforeAutospacing="0" w:after="0" w:afterAutospacing="0" w:line="360" w:lineRule="auto"/>
        <w:jc w:val="both"/>
        <w:rPr>
          <w:rFonts w:hint="eastAsia" w:ascii="宋体" w:hAnsi="宋体" w:eastAsia="宋体" w:cs="宋体"/>
          <w:b/>
          <w:kern w:val="2"/>
          <w:sz w:val="24"/>
          <w:szCs w:val="24"/>
          <w:highlight w:val="none"/>
        </w:rPr>
      </w:pPr>
    </w:p>
    <w:p w14:paraId="743C059C">
      <w:pPr>
        <w:pStyle w:val="38"/>
        <w:keepLines w:val="0"/>
        <w:pageBreakBefore w:val="0"/>
        <w:widowControl w:val="0"/>
        <w:tabs>
          <w:tab w:val="left" w:pos="540"/>
        </w:tabs>
        <w:kinsoku/>
        <w:wordWrap/>
        <w:overflowPunct/>
        <w:topLinePunct w:val="0"/>
        <w:bidi w:val="0"/>
        <w:adjustRightInd w:val="0"/>
        <w:snapToGrid w:val="0"/>
        <w:spacing w:before="0" w:beforeAutospacing="0" w:after="0" w:afterAutospacing="0" w:line="360" w:lineRule="auto"/>
        <w:ind w:firstLine="482" w:firstLineChars="200"/>
        <w:jc w:val="both"/>
        <w:rPr>
          <w:rFonts w:hint="eastAsia" w:ascii="宋体" w:hAnsi="宋体" w:eastAsia="宋体" w:cs="宋体"/>
          <w:b/>
          <w:sz w:val="24"/>
          <w:szCs w:val="24"/>
          <w:highlight w:val="none"/>
        </w:rPr>
      </w:pPr>
      <w:r>
        <w:rPr>
          <w:rFonts w:hint="eastAsia" w:ascii="宋体" w:hAnsi="宋体" w:eastAsia="宋体" w:cs="宋体"/>
          <w:b/>
          <w:kern w:val="2"/>
          <w:sz w:val="24"/>
          <w:szCs w:val="24"/>
          <w:highlight w:val="none"/>
        </w:rPr>
        <w:t>（二）服务要求</w:t>
      </w:r>
    </w:p>
    <w:p w14:paraId="0454285B">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1.供应商必须自觉遵守国家法律法规，合法经营。日常运作（</w:t>
      </w:r>
      <w:r>
        <w:rPr>
          <w:rFonts w:hint="eastAsia" w:ascii="宋体" w:hAnsi="宋体" w:cs="宋体"/>
          <w:kern w:val="0"/>
          <w:sz w:val="24"/>
          <w:szCs w:val="24"/>
          <w:highlight w:val="none"/>
          <w:lang w:val="en-US" w:eastAsia="zh-CN"/>
        </w:rPr>
        <w:t>检查、</w:t>
      </w:r>
      <w:r>
        <w:rPr>
          <w:rFonts w:hint="eastAsia" w:ascii="宋体" w:hAnsi="宋体" w:eastAsia="宋体" w:cs="宋体"/>
          <w:kern w:val="0"/>
          <w:sz w:val="24"/>
          <w:szCs w:val="24"/>
          <w:highlight w:val="none"/>
          <w:lang w:val="zh-CN"/>
        </w:rPr>
        <w:t>接车、生产、交车、结算、投诉、索赔）要做到规范化、制度化、实行定人定岗定规，严格落实岗位责任制度，形成岗位责任追究制度，促进生产管理活动有秩序的进行。</w:t>
      </w:r>
    </w:p>
    <w:p w14:paraId="2ECB3678">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2.供应商必须严格遵守《机动车维修管理规定》、《机动车维修服务规范》等相关规定。</w:t>
      </w:r>
    </w:p>
    <w:p w14:paraId="114E437A">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3.以维修为主，能维修的尽量维修，维修价格不得高于保险公司的定损价格，采购人有权对实施的维修项目及价格进行市场调研，如有高于市场价的进行商议</w:t>
      </w:r>
      <w:r>
        <w:rPr>
          <w:rFonts w:hint="eastAsia" w:ascii="宋体" w:hAnsi="宋体" w:eastAsia="宋体" w:cs="宋体"/>
          <w:kern w:val="0"/>
          <w:sz w:val="24"/>
          <w:szCs w:val="24"/>
          <w:highlight w:val="none"/>
          <w:lang w:val="en-US" w:eastAsia="zh-CN"/>
        </w:rPr>
        <w:t>。</w:t>
      </w:r>
    </w:p>
    <w:p w14:paraId="6B08096C">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4.流程环节清楚、合理、有序。保证信息公开，接受监督（包括配件进货渠道、修理项目、出厂标准等），采购人发现出现供应商不按照正规渠道的安装配件或者</w:t>
      </w:r>
      <w:r>
        <w:rPr>
          <w:rFonts w:hint="eastAsia" w:ascii="宋体" w:hAnsi="宋体" w:cs="宋体"/>
          <w:kern w:val="0"/>
          <w:sz w:val="24"/>
          <w:szCs w:val="24"/>
          <w:highlight w:val="none"/>
          <w:lang w:val="en-US" w:eastAsia="zh-CN"/>
        </w:rPr>
        <w:t>未经采购人同意</w:t>
      </w:r>
      <w:r>
        <w:rPr>
          <w:rFonts w:hint="eastAsia" w:ascii="宋体" w:hAnsi="宋体" w:eastAsia="宋体" w:cs="宋体"/>
          <w:kern w:val="0"/>
          <w:sz w:val="24"/>
          <w:szCs w:val="24"/>
          <w:highlight w:val="none"/>
          <w:lang w:val="zh-CN"/>
        </w:rPr>
        <w:t>使用旧件：第一次，警告；第二次，扣除本配件的维修费用；第三次，采购人有权</w:t>
      </w:r>
      <w:r>
        <w:rPr>
          <w:rFonts w:hint="eastAsia" w:ascii="宋体" w:hAnsi="宋体" w:eastAsia="宋体" w:cs="宋体"/>
          <w:kern w:val="0"/>
          <w:sz w:val="24"/>
          <w:szCs w:val="24"/>
          <w:highlight w:val="none"/>
        </w:rPr>
        <w:t>终止本项目合作</w:t>
      </w:r>
      <w:r>
        <w:rPr>
          <w:rFonts w:hint="eastAsia" w:ascii="宋体" w:hAnsi="宋体" w:eastAsia="宋体" w:cs="宋体"/>
          <w:kern w:val="0"/>
          <w:sz w:val="24"/>
          <w:szCs w:val="24"/>
          <w:highlight w:val="none"/>
          <w:lang w:val="zh-CN"/>
        </w:rPr>
        <w:t>。</w:t>
      </w:r>
    </w:p>
    <w:p w14:paraId="066D0029">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5.零部件、配件等材料：</w:t>
      </w:r>
    </w:p>
    <w:p w14:paraId="5272C252">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5.1所用的零部件、配件等材料必须符合国家或部门颁发标准和行业标准以及汽车维修相关标准。必须有合法的进货渠道，不得使用假冒伪劣产品或以次充好。</w:t>
      </w:r>
    </w:p>
    <w:p w14:paraId="7E17600C">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5.2经采购人同意，在保证安全质量的前提下，可以用替代件或旧件的，供应商必须在材料清单中加以注明，否则不得使用旧件；可以修复的部件，不得以换代修。</w:t>
      </w:r>
    </w:p>
    <w:p w14:paraId="7C827141">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cs="宋体"/>
          <w:kern w:val="0"/>
          <w:sz w:val="24"/>
          <w:szCs w:val="24"/>
          <w:highlight w:val="none"/>
          <w:lang w:val="zh-CN"/>
        </w:rPr>
      </w:pPr>
      <w:r>
        <w:rPr>
          <w:rFonts w:hint="eastAsia" w:ascii="宋体" w:hAnsi="宋体" w:eastAsia="宋体" w:cs="宋体"/>
          <w:kern w:val="0"/>
          <w:sz w:val="24"/>
          <w:szCs w:val="24"/>
          <w:highlight w:val="none"/>
          <w:lang w:val="zh-CN"/>
        </w:rPr>
        <w:t>5.3不论何种情况更换的零配（部）件均应在装配前取得采购人认可并在维修单上签字同意</w:t>
      </w:r>
      <w:r>
        <w:rPr>
          <w:rFonts w:hint="eastAsia" w:ascii="宋体" w:hAnsi="宋体" w:cs="宋体"/>
          <w:kern w:val="0"/>
          <w:sz w:val="24"/>
          <w:szCs w:val="24"/>
          <w:highlight w:val="none"/>
          <w:lang w:val="zh-CN"/>
        </w:rPr>
        <w:t>。</w:t>
      </w:r>
    </w:p>
    <w:p w14:paraId="3F8C06C1">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cs="宋体"/>
          <w:kern w:val="0"/>
          <w:sz w:val="24"/>
          <w:szCs w:val="24"/>
          <w:highlight w:val="none"/>
          <w:lang w:val="en-US" w:eastAsia="zh-CN"/>
        </w:rPr>
        <w:t>5.4采购人全部的维修项目，供应</w:t>
      </w:r>
      <w:r>
        <w:rPr>
          <w:rFonts w:hint="eastAsia" w:ascii="宋体" w:hAnsi="宋体" w:eastAsia="宋体" w:cs="宋体"/>
          <w:kern w:val="0"/>
          <w:sz w:val="24"/>
          <w:szCs w:val="24"/>
          <w:highlight w:val="none"/>
          <w:lang w:val="en-US" w:eastAsia="zh-CN"/>
        </w:rPr>
        <w:t>商均须提供</w:t>
      </w:r>
      <w:r>
        <w:rPr>
          <w:rFonts w:hint="eastAsia" w:ascii="宋体" w:hAnsi="宋体" w:eastAsia="宋体" w:cs="宋体"/>
          <w:kern w:val="0"/>
          <w:sz w:val="24"/>
          <w:szCs w:val="24"/>
          <w:highlight w:val="none"/>
          <w:lang w:val="zh-CN"/>
        </w:rPr>
        <w:t>报价清单。</w:t>
      </w:r>
    </w:p>
    <w:p w14:paraId="35D8C7B3">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6.必须针对本项目设立维修服务专柜，有专人提供从接车到验车出厂的全过程服务。为采购人提供优先服务，确保在规定的时限内完成维修服务，保障采购人用车需要。</w:t>
      </w:r>
    </w:p>
    <w:p w14:paraId="400D156A">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7.</w:t>
      </w:r>
      <w:r>
        <w:rPr>
          <w:rFonts w:hint="eastAsia" w:ascii="宋体" w:hAnsi="宋体" w:cs="宋体"/>
          <w:kern w:val="0"/>
          <w:sz w:val="24"/>
          <w:szCs w:val="24"/>
          <w:highlight w:val="none"/>
          <w:lang w:val="en-US" w:eastAsia="zh-CN"/>
        </w:rPr>
        <w:t>免费</w:t>
      </w:r>
      <w:r>
        <w:rPr>
          <w:rFonts w:hint="eastAsia" w:ascii="宋体" w:hAnsi="宋体" w:eastAsia="宋体" w:cs="宋体"/>
          <w:kern w:val="0"/>
          <w:sz w:val="24"/>
          <w:szCs w:val="24"/>
          <w:highlight w:val="none"/>
          <w:lang w:val="zh-CN"/>
        </w:rPr>
        <w:t>提供顺德区内电话预约、上门服务、24小时服务等服务</w:t>
      </w:r>
      <w:r>
        <w:rPr>
          <w:rFonts w:hint="eastAsia" w:ascii="宋体" w:hAnsi="宋体" w:cs="宋体"/>
          <w:kern w:val="0"/>
          <w:sz w:val="24"/>
          <w:szCs w:val="24"/>
          <w:highlight w:val="none"/>
          <w:lang w:val="zh-CN"/>
        </w:rPr>
        <w:t>。</w:t>
      </w:r>
    </w:p>
    <w:p w14:paraId="670F91B5">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yellow"/>
          <w:lang w:val="zh-CN"/>
        </w:rPr>
      </w:pPr>
      <w:r>
        <w:rPr>
          <w:rFonts w:hint="eastAsia" w:ascii="宋体" w:hAnsi="宋体" w:eastAsia="宋体" w:cs="宋体"/>
          <w:kern w:val="0"/>
          <w:sz w:val="24"/>
          <w:szCs w:val="24"/>
          <w:highlight w:val="none"/>
          <w:lang w:val="zh-CN"/>
        </w:rPr>
        <w:t>8.</w:t>
      </w:r>
      <w:r>
        <w:rPr>
          <w:rFonts w:hint="eastAsia" w:ascii="宋体" w:hAnsi="宋体" w:cs="宋体"/>
          <w:kern w:val="0"/>
          <w:sz w:val="24"/>
          <w:szCs w:val="24"/>
          <w:highlight w:val="none"/>
          <w:lang w:val="en-US" w:eastAsia="zh-CN"/>
        </w:rPr>
        <w:t>一年内，</w:t>
      </w:r>
      <w:r>
        <w:rPr>
          <w:rFonts w:hint="eastAsia" w:ascii="宋体" w:hAnsi="宋体" w:eastAsia="宋体" w:cs="宋体"/>
          <w:kern w:val="0"/>
          <w:sz w:val="24"/>
          <w:szCs w:val="24"/>
          <w:highlight w:val="none"/>
          <w:lang w:val="zh-CN"/>
        </w:rPr>
        <w:t>在顺德行政区域范围</w:t>
      </w:r>
      <w:r>
        <w:rPr>
          <w:rFonts w:hint="eastAsia" w:ascii="宋体" w:hAnsi="宋体" w:cs="宋体"/>
          <w:kern w:val="0"/>
          <w:sz w:val="24"/>
          <w:szCs w:val="24"/>
          <w:highlight w:val="none"/>
          <w:lang w:val="en-US" w:eastAsia="zh-CN"/>
        </w:rPr>
        <w:t>至少</w:t>
      </w:r>
      <w:r>
        <w:rPr>
          <w:rFonts w:hint="eastAsia" w:ascii="宋体" w:hAnsi="宋体" w:eastAsia="宋体" w:cs="宋体"/>
          <w:kern w:val="0"/>
          <w:sz w:val="24"/>
          <w:szCs w:val="24"/>
          <w:highlight w:val="none"/>
          <w:lang w:val="zh-CN"/>
        </w:rPr>
        <w:t>免费提供24小时拖车服务</w:t>
      </w:r>
      <w:r>
        <w:rPr>
          <w:rFonts w:hint="eastAsia" w:ascii="宋体" w:hAnsi="宋体" w:cs="宋体"/>
          <w:kern w:val="0"/>
          <w:sz w:val="24"/>
          <w:szCs w:val="24"/>
          <w:highlight w:val="none"/>
          <w:lang w:val="en-US" w:eastAsia="zh-CN"/>
        </w:rPr>
        <w:t>3次</w:t>
      </w:r>
      <w:r>
        <w:rPr>
          <w:rFonts w:hint="eastAsia" w:ascii="宋体" w:hAnsi="宋体" w:eastAsia="宋体" w:cs="宋体"/>
          <w:kern w:val="0"/>
          <w:sz w:val="24"/>
          <w:szCs w:val="24"/>
          <w:highlight w:val="none"/>
          <w:lang w:val="zh-CN"/>
        </w:rPr>
        <w:t>。</w:t>
      </w:r>
      <w:r>
        <w:rPr>
          <w:rFonts w:hint="eastAsia" w:ascii="宋体" w:hAnsi="宋体" w:cs="宋体"/>
          <w:kern w:val="0"/>
          <w:sz w:val="24"/>
          <w:szCs w:val="24"/>
          <w:highlight w:val="none"/>
          <w:lang w:val="en-US" w:eastAsia="zh-CN"/>
        </w:rPr>
        <w:t>以</w:t>
      </w:r>
      <w:r>
        <w:rPr>
          <w:rFonts w:hint="eastAsia" w:ascii="宋体" w:hAnsi="宋体" w:eastAsia="宋体" w:cs="宋体"/>
          <w:kern w:val="0"/>
          <w:sz w:val="24"/>
          <w:szCs w:val="24"/>
          <w:highlight w:val="none"/>
          <w:lang w:val="zh-CN"/>
        </w:rPr>
        <w:t>外</w:t>
      </w:r>
      <w:r>
        <w:rPr>
          <w:rFonts w:hint="eastAsia" w:ascii="宋体" w:hAnsi="宋体" w:cs="宋体"/>
          <w:kern w:val="0"/>
          <w:sz w:val="24"/>
          <w:szCs w:val="24"/>
          <w:highlight w:val="none"/>
          <w:lang w:val="en-US" w:eastAsia="zh-CN"/>
        </w:rPr>
        <w:t>的</w:t>
      </w:r>
      <w:r>
        <w:rPr>
          <w:rFonts w:hint="eastAsia" w:ascii="宋体" w:hAnsi="宋体" w:eastAsia="宋体" w:cs="宋体"/>
          <w:kern w:val="0"/>
          <w:sz w:val="24"/>
          <w:szCs w:val="24"/>
          <w:highlight w:val="none"/>
          <w:lang w:val="zh-CN"/>
        </w:rPr>
        <w:t>需拖车公司拖车的可双方协商进行费用收取</w:t>
      </w:r>
      <w:r>
        <w:rPr>
          <w:rFonts w:hint="eastAsia" w:ascii="宋体" w:hAnsi="宋体" w:cs="宋体"/>
          <w:kern w:val="0"/>
          <w:sz w:val="24"/>
          <w:szCs w:val="24"/>
          <w:highlight w:val="none"/>
          <w:lang w:val="zh-CN"/>
        </w:rPr>
        <w:t>。</w:t>
      </w:r>
    </w:p>
    <w:p w14:paraId="15E40EE6">
      <w:pPr>
        <w:keepLines w:val="0"/>
        <w:pageBreakBefore w:val="0"/>
        <w:tabs>
          <w:tab w:val="left" w:pos="450"/>
          <w:tab w:val="left" w:pos="4770"/>
          <w:tab w:val="left" w:pos="840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9.接收委托维修要求：</w:t>
      </w:r>
    </w:p>
    <w:p w14:paraId="728B53ED">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9.1列明送修车辆的维修详细清单，包括更换配件（注明配件厂家、规格型号）、维修服务内容、总价格（含工时费、配件费等各项单项报价）等，须由采购人确认后方可送修。供应商在每一次维修前，应编制维修项目明细表，确保采购人对维修内容及其细节的知情权，如报价太高或能力有限不足以维修的，</w:t>
      </w:r>
      <w:r>
        <w:rPr>
          <w:rFonts w:hint="eastAsia" w:ascii="宋体" w:hAnsi="宋体" w:eastAsia="宋体" w:cs="宋体"/>
          <w:kern w:val="0"/>
          <w:sz w:val="24"/>
          <w:szCs w:val="24"/>
          <w:highlight w:val="none"/>
        </w:rPr>
        <w:t>采购人有权到其它至少两家供应商库询价并维修，所需拖车转换场地维修的，拖车费用由合同签署的供应商承担。</w:t>
      </w:r>
    </w:p>
    <w:p w14:paraId="1159536B">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9.2供应商必须在现场对车辆进行诊断，初步确定维修项目，并要充分征求采购人的意见。</w:t>
      </w:r>
    </w:p>
    <w:p w14:paraId="36FB20E2">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9.</w:t>
      </w:r>
      <w:r>
        <w:rPr>
          <w:rFonts w:hint="eastAsia" w:ascii="宋体" w:hAnsi="宋体" w:cs="宋体"/>
          <w:kern w:val="0"/>
          <w:sz w:val="24"/>
          <w:szCs w:val="24"/>
          <w:highlight w:val="none"/>
          <w:lang w:val="en-US" w:eastAsia="zh-CN"/>
        </w:rPr>
        <w:t>3</w:t>
      </w:r>
      <w:r>
        <w:rPr>
          <w:rFonts w:hint="eastAsia" w:ascii="宋体" w:hAnsi="宋体" w:eastAsia="宋体" w:cs="宋体"/>
          <w:kern w:val="0"/>
          <w:sz w:val="24"/>
          <w:szCs w:val="24"/>
          <w:highlight w:val="none"/>
          <w:lang w:val="zh-CN"/>
        </w:rPr>
        <w:t>严格按照交车时限来安排维修服务，不能在规定时限内交车的，要提前与采购人联系，取得采购人的谅解。</w:t>
      </w:r>
    </w:p>
    <w:p w14:paraId="26533B04">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9.</w:t>
      </w:r>
      <w:r>
        <w:rPr>
          <w:rFonts w:hint="eastAsia" w:ascii="宋体" w:hAnsi="宋体" w:cs="宋体"/>
          <w:kern w:val="0"/>
          <w:sz w:val="24"/>
          <w:szCs w:val="24"/>
          <w:highlight w:val="none"/>
          <w:lang w:val="en-US" w:eastAsia="zh-CN"/>
        </w:rPr>
        <w:t>4</w:t>
      </w:r>
      <w:r>
        <w:rPr>
          <w:rFonts w:hint="eastAsia" w:ascii="宋体" w:hAnsi="宋体" w:eastAsia="宋体" w:cs="宋体"/>
          <w:color w:val="auto"/>
          <w:kern w:val="0"/>
          <w:sz w:val="24"/>
          <w:szCs w:val="24"/>
          <w:highlight w:val="none"/>
          <w:lang w:val="zh-CN"/>
        </w:rPr>
        <w:t>一般情况下每次维修属于一事一议，如有发现或增加其他维修项目的，需先</w:t>
      </w:r>
      <w:r>
        <w:rPr>
          <w:rFonts w:hint="eastAsia" w:ascii="宋体" w:hAnsi="宋体" w:eastAsia="宋体" w:cs="宋体"/>
          <w:color w:val="auto"/>
          <w:kern w:val="0"/>
          <w:sz w:val="24"/>
          <w:szCs w:val="24"/>
          <w:highlight w:val="none"/>
          <w:lang w:val="en-US" w:eastAsia="zh-CN"/>
        </w:rPr>
        <w:t>与车辆直接管理负责人沟通</w:t>
      </w:r>
      <w:r>
        <w:rPr>
          <w:rFonts w:hint="eastAsia" w:ascii="宋体" w:hAnsi="宋体" w:eastAsia="宋体" w:cs="宋体"/>
          <w:color w:val="auto"/>
          <w:kern w:val="0"/>
          <w:sz w:val="24"/>
          <w:szCs w:val="24"/>
          <w:highlight w:val="none"/>
          <w:lang w:val="zh-CN"/>
        </w:rPr>
        <w:t>后再确认；每次维修后需供应商应及时建立档案库，保存电脑数据及纸质版维修清单，每单个维修项目需制定详细的维修</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lang w:val="zh-CN"/>
        </w:rPr>
        <w:t>清单。</w:t>
      </w:r>
    </w:p>
    <w:p w14:paraId="4D5647C5">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10.车辆竣工出厂：</w:t>
      </w:r>
    </w:p>
    <w:p w14:paraId="4EFC4EC7">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10.1供应商应建立车辆维修档案，认真记录车辆维修情况（包括用户名称、地址、电话、联系人、车牌号、维修资料等），以便今后联系、调查和服务。</w:t>
      </w:r>
    </w:p>
    <w:p w14:paraId="5FAF1E09">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10.2所有维修车辆出厂时必须达到《机动车运行安全技术条件》GB7258-201</w:t>
      </w:r>
      <w:r>
        <w:rPr>
          <w:rFonts w:hint="eastAsia" w:ascii="宋体" w:hAnsi="宋体" w:cs="宋体"/>
          <w:kern w:val="0"/>
          <w:sz w:val="24"/>
          <w:szCs w:val="24"/>
          <w:highlight w:val="none"/>
          <w:lang w:val="en-US" w:eastAsia="zh-CN"/>
        </w:rPr>
        <w:t>7</w:t>
      </w:r>
      <w:r>
        <w:rPr>
          <w:rFonts w:hint="eastAsia" w:ascii="宋体" w:hAnsi="宋体" w:eastAsia="宋体" w:cs="宋体"/>
          <w:kern w:val="0"/>
          <w:sz w:val="24"/>
          <w:szCs w:val="24"/>
          <w:highlight w:val="none"/>
          <w:lang w:val="zh-CN"/>
        </w:rPr>
        <w:t>等国家安全技术标准及车辆维修标准，如有新标准按新标准执行。</w:t>
      </w:r>
    </w:p>
    <w:p w14:paraId="673040EA">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10.3送修车辆合格出厂后，执行《机动车维修管理规定》的最新规定：第三十</w:t>
      </w:r>
      <w:r>
        <w:rPr>
          <w:rFonts w:hint="eastAsia" w:ascii="宋体" w:hAnsi="宋体" w:eastAsia="宋体" w:cs="宋体"/>
          <w:kern w:val="0"/>
          <w:sz w:val="24"/>
          <w:szCs w:val="24"/>
          <w:highlight w:val="none"/>
          <w:lang w:val="en-US" w:eastAsia="zh-CN"/>
        </w:rPr>
        <w:t>六</w:t>
      </w:r>
      <w:r>
        <w:rPr>
          <w:rFonts w:hint="eastAsia" w:ascii="宋体" w:hAnsi="宋体" w:eastAsia="宋体" w:cs="宋体"/>
          <w:kern w:val="0"/>
          <w:sz w:val="24"/>
          <w:szCs w:val="24"/>
          <w:highlight w:val="none"/>
          <w:lang w:val="zh-CN"/>
        </w:rPr>
        <w:t>条机动车维修实行竣工出厂质量保证期制度：汽车和危险货物运输车辆整车修理或总成修理质量保证期为车辆行驶20000公里或者100日；二级维护质量保证期为车辆行驶5000公里或者30日；一级维护、小修及专项修理质量保证期为车辆行驶2000公里或者10日。质量保证期中行驶里程和日期指标，以先达到者为准。机动车维修质量保证期，从维修竣工出厂之日起计算。</w:t>
      </w:r>
    </w:p>
    <w:p w14:paraId="7EF8240F">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10.4责任保障期限及车辆质量保证按照国家有关部门颁发的最新标准执行。</w:t>
      </w:r>
    </w:p>
    <w:p w14:paraId="57523C47">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10.5因维修质量造成的车辆故障或损坏的，供应商应及时免费返修；造成车辆机件事故的、造成的直接经济损失，由供应商负责。</w:t>
      </w:r>
    </w:p>
    <w:p w14:paraId="38B9EA9D">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10.6有符合规定的出厂质检工序，严格执行汽车维修技术检验制度，经修车辆达不到规定的质量标准和技术要求的，返修不得再计价收费，且返修率要控制在3%以内。</w:t>
      </w:r>
    </w:p>
    <w:p w14:paraId="6AB34E2A">
      <w:pPr>
        <w:keepLines w:val="0"/>
        <w:pageBreakBefore w:val="0"/>
        <w:numPr>
          <w:ilvl w:val="0"/>
          <w:numId w:val="0"/>
        </w:numPr>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lang w:val="en-US" w:eastAsia="zh-CN" w:bidi="ar-SA"/>
        </w:rPr>
        <w:t>11.</w:t>
      </w:r>
      <w:r>
        <w:rPr>
          <w:rFonts w:hint="eastAsia" w:ascii="宋体" w:hAnsi="宋体" w:eastAsia="宋体" w:cs="宋体"/>
          <w:kern w:val="0"/>
          <w:sz w:val="24"/>
          <w:szCs w:val="24"/>
          <w:highlight w:val="none"/>
          <w:lang w:val="zh-CN"/>
        </w:rPr>
        <w:t>必须服从有关部门的监督、管理，未经采购人允许不得将车开出作他用；不得与任何人串通，虚假修车或虚报维修项目，损害采购人的利益，严禁供应商向采购人提出非分要求；不得代开发票、收取开票费</w:t>
      </w:r>
      <w:r>
        <w:rPr>
          <w:rFonts w:hint="eastAsia" w:ascii="宋体" w:hAnsi="宋体" w:eastAsia="宋体" w:cs="宋体"/>
          <w:kern w:val="0"/>
          <w:sz w:val="24"/>
          <w:szCs w:val="24"/>
          <w:highlight w:val="none"/>
        </w:rPr>
        <w:t>。</w:t>
      </w:r>
    </w:p>
    <w:p w14:paraId="2D86518B">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lang w:val="zh-CN"/>
        </w:rPr>
        <w:t>.维修场地设施要求：</w:t>
      </w:r>
    </w:p>
    <w:p w14:paraId="48399992">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lang w:val="zh-CN"/>
        </w:rPr>
        <w:t>.1经营场所符合国家规定的安全标准，并且交通便利（或设有合理、明显的指示标志）。</w:t>
      </w:r>
    </w:p>
    <w:p w14:paraId="1CA92A1E">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lang w:val="zh-CN"/>
        </w:rPr>
        <w:t>.2厂区整洁，厂房洁净,维修车间布局合理、车间设施良好、修理工位标示明确。</w:t>
      </w:r>
    </w:p>
    <w:p w14:paraId="4EA1C31A">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lang w:val="zh-CN"/>
        </w:rPr>
        <w:t>.3厂区内标志清晰、业户资质证明、员工资格证明、营业时间要明确展示。</w:t>
      </w:r>
    </w:p>
    <w:p w14:paraId="0330CEF1">
      <w:pPr>
        <w:keepLines w:val="0"/>
        <w:pageBreakBefore w:val="0"/>
        <w:numPr>
          <w:ilvl w:val="0"/>
          <w:numId w:val="0"/>
        </w:numPr>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highlight w:val="none"/>
          <w:lang w:val="zh-CN"/>
        </w:rPr>
        <w:t>1</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lang w:val="zh-CN"/>
        </w:rPr>
        <w:t>.4</w:t>
      </w:r>
      <w:r>
        <w:rPr>
          <w:rFonts w:hint="eastAsia" w:ascii="宋体" w:hAnsi="宋体" w:eastAsia="宋体" w:cs="宋体"/>
          <w:kern w:val="0"/>
          <w:sz w:val="24"/>
          <w:szCs w:val="24"/>
          <w:lang w:val="zh-CN" w:eastAsia="zh-CN" w:bidi="ar-SA"/>
        </w:rPr>
        <w:t>符合</w:t>
      </w:r>
      <w:r>
        <w:rPr>
          <w:rFonts w:hint="eastAsia" w:ascii="宋体" w:hAnsi="宋体" w:eastAsia="宋体" w:cs="宋体"/>
          <w:kern w:val="0"/>
          <w:sz w:val="24"/>
          <w:szCs w:val="24"/>
          <w:lang w:val="en-US" w:eastAsia="zh-CN" w:bidi="ar-SA"/>
        </w:rPr>
        <w:t>《</w:t>
      </w:r>
      <w:r>
        <w:rPr>
          <w:rFonts w:hint="eastAsia" w:ascii="宋体" w:hAnsi="宋体" w:eastAsia="宋体" w:cs="宋体"/>
          <w:kern w:val="0"/>
          <w:sz w:val="24"/>
          <w:szCs w:val="24"/>
          <w:lang w:val="zh-CN" w:eastAsia="zh-CN" w:bidi="ar-SA"/>
        </w:rPr>
        <w:t>汽车维修业经营业务条件</w:t>
      </w:r>
      <w:r>
        <w:rPr>
          <w:rFonts w:hint="eastAsia" w:ascii="宋体" w:hAnsi="宋体" w:eastAsia="宋体" w:cs="宋体"/>
          <w:kern w:val="0"/>
          <w:sz w:val="24"/>
          <w:szCs w:val="24"/>
          <w:lang w:val="en-US" w:eastAsia="zh-CN" w:bidi="ar-SA"/>
        </w:rPr>
        <w:t>》</w:t>
      </w:r>
      <w:r>
        <w:rPr>
          <w:rFonts w:hint="eastAsia" w:ascii="宋体" w:hAnsi="宋体" w:eastAsia="宋体" w:cs="宋体"/>
          <w:kern w:val="0"/>
          <w:sz w:val="24"/>
          <w:szCs w:val="24"/>
          <w:lang w:val="zh-CN" w:eastAsia="zh-CN" w:bidi="ar-SA"/>
        </w:rPr>
        <w:t>GB/T 16739.1-20</w:t>
      </w:r>
      <w:r>
        <w:rPr>
          <w:rFonts w:hint="eastAsia" w:ascii="宋体" w:hAnsi="宋体" w:eastAsia="宋体" w:cs="宋体"/>
          <w:kern w:val="0"/>
          <w:sz w:val="24"/>
          <w:szCs w:val="24"/>
          <w:lang w:val="en-US" w:eastAsia="zh-CN" w:bidi="ar-SA"/>
        </w:rPr>
        <w:t>23的</w:t>
      </w:r>
      <w:r>
        <w:rPr>
          <w:rFonts w:hint="eastAsia" w:ascii="宋体" w:hAnsi="宋体" w:eastAsia="宋体" w:cs="宋体"/>
          <w:kern w:val="0"/>
          <w:sz w:val="24"/>
          <w:szCs w:val="24"/>
          <w:lang w:val="zh-CN" w:eastAsia="zh-CN" w:bidi="ar-SA"/>
        </w:rPr>
        <w:t>第1部分：</w:t>
      </w:r>
      <w:r>
        <w:rPr>
          <w:rFonts w:hint="eastAsia" w:ascii="宋体" w:hAnsi="宋体" w:eastAsia="宋体" w:cs="宋体"/>
          <w:kern w:val="0"/>
          <w:sz w:val="24"/>
          <w:szCs w:val="24"/>
          <w:lang w:val="en-US" w:eastAsia="zh-CN" w:bidi="ar-SA"/>
        </w:rPr>
        <w:t>汽车整车维修企业和汽车维修业经营业务条件</w:t>
      </w:r>
      <w:r>
        <w:rPr>
          <w:rFonts w:hint="eastAsia" w:ascii="宋体" w:hAnsi="宋体" w:eastAsia="宋体" w:cs="宋体"/>
          <w:kern w:val="0"/>
          <w:sz w:val="24"/>
          <w:szCs w:val="24"/>
          <w:lang w:val="zh-CN" w:eastAsia="zh-CN" w:bidi="ar-SA"/>
        </w:rPr>
        <w:t>，并配备有车辆救援的专用设备及车辆。</w:t>
      </w:r>
    </w:p>
    <w:p w14:paraId="33479338">
      <w:pPr>
        <w:keepLines w:val="0"/>
        <w:pageBreakBefore w:val="0"/>
        <w:numPr>
          <w:ilvl w:val="0"/>
          <w:numId w:val="0"/>
        </w:numPr>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lang w:val="zh-CN" w:eastAsia="zh-CN" w:bidi="ar-SA"/>
        </w:rPr>
        <w:t>1</w:t>
      </w: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lang w:val="zh-CN" w:eastAsia="zh-CN" w:bidi="ar-SA"/>
        </w:rPr>
        <w:t>.5供应商有维修车型的原厂维修资料，包括</w:t>
      </w:r>
      <w:r>
        <w:rPr>
          <w:rFonts w:hint="eastAsia" w:ascii="宋体" w:hAnsi="宋体" w:eastAsia="宋体" w:cs="宋体"/>
          <w:kern w:val="0"/>
          <w:sz w:val="24"/>
          <w:szCs w:val="24"/>
          <w:highlight w:val="none"/>
          <w:lang w:val="zh-CN"/>
        </w:rPr>
        <w:t>配件资料、工艺资料、监察技术标准等。</w:t>
      </w:r>
    </w:p>
    <w:p w14:paraId="5D101954">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w:t>
      </w:r>
      <w:r>
        <w:rPr>
          <w:rFonts w:hint="eastAsia" w:ascii="宋体" w:hAnsi="宋体" w:cs="宋体"/>
          <w:kern w:val="0"/>
          <w:sz w:val="24"/>
          <w:szCs w:val="24"/>
          <w:highlight w:val="none"/>
          <w:lang w:val="en-US" w:eastAsia="zh-CN"/>
        </w:rPr>
        <w:t>3</w:t>
      </w:r>
      <w:r>
        <w:rPr>
          <w:rFonts w:hint="eastAsia" w:ascii="宋体" w:hAnsi="宋体" w:eastAsia="宋体" w:cs="宋体"/>
          <w:kern w:val="0"/>
          <w:sz w:val="24"/>
          <w:szCs w:val="24"/>
          <w:highlight w:val="none"/>
          <w:lang w:val="zh-CN"/>
        </w:rPr>
        <w:t>.供应商的车辆维修从业人员必须具备汽车维修上岗证。</w:t>
      </w:r>
    </w:p>
    <w:p w14:paraId="43294D9C">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w:t>
      </w:r>
      <w:r>
        <w:rPr>
          <w:rFonts w:hint="eastAsia" w:ascii="宋体" w:hAnsi="宋体" w:cs="宋体"/>
          <w:kern w:val="0"/>
          <w:sz w:val="24"/>
          <w:szCs w:val="24"/>
          <w:highlight w:val="none"/>
          <w:lang w:val="en-US" w:eastAsia="zh-CN"/>
        </w:rPr>
        <w:t>4</w:t>
      </w:r>
      <w:r>
        <w:rPr>
          <w:rFonts w:hint="eastAsia" w:ascii="宋体" w:hAnsi="宋体" w:eastAsia="宋体" w:cs="宋体"/>
          <w:kern w:val="0"/>
          <w:sz w:val="24"/>
          <w:szCs w:val="24"/>
          <w:highlight w:val="none"/>
          <w:lang w:val="zh-CN"/>
        </w:rPr>
        <w:t>.工作人员着装整洁、佩戴标牌、能够提供文明、优质的服务。</w:t>
      </w:r>
    </w:p>
    <w:p w14:paraId="10ADABE2">
      <w:pPr>
        <w:keepLines w:val="0"/>
        <w:pageBreakBefore w:val="0"/>
        <w:widowControl/>
        <w:kinsoku/>
        <w:wordWrap/>
        <w:overflowPunct/>
        <w:topLinePunct w:val="0"/>
        <w:bidi w:val="0"/>
        <w:spacing w:line="360" w:lineRule="auto"/>
        <w:ind w:firstLine="480" w:firstLineChars="200"/>
        <w:jc w:val="both"/>
        <w:rPr>
          <w:rFonts w:hint="eastAsia" w:ascii="宋体" w:hAnsi="宋体" w:eastAsia="宋体" w:cs="宋体"/>
          <w:b/>
          <w:sz w:val="24"/>
          <w:szCs w:val="24"/>
          <w:highlight w:val="none"/>
        </w:rPr>
      </w:pPr>
      <w:r>
        <w:rPr>
          <w:rFonts w:hint="eastAsia" w:ascii="宋体" w:hAnsi="宋体" w:eastAsia="宋体" w:cs="宋体"/>
          <w:sz w:val="24"/>
          <w:szCs w:val="24"/>
          <w:highlight w:val="none"/>
          <w:lang w:val="zh-CN"/>
        </w:rPr>
        <w:t>1</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zh-CN"/>
        </w:rPr>
        <w:t>.重要检查维修设备、操作规程实施有效、专人对设备的使用进行管理，保证状态良好。</w:t>
      </w:r>
    </w:p>
    <w:p w14:paraId="5984FC68">
      <w:pPr>
        <w:pStyle w:val="38"/>
        <w:keepLines w:val="0"/>
        <w:pageBreakBefore w:val="0"/>
        <w:widowControl w:val="0"/>
        <w:tabs>
          <w:tab w:val="left" w:pos="540"/>
        </w:tabs>
        <w:kinsoku/>
        <w:wordWrap/>
        <w:overflowPunct/>
        <w:topLinePunct w:val="0"/>
        <w:bidi w:val="0"/>
        <w:adjustRightInd w:val="0"/>
        <w:snapToGrid w:val="0"/>
        <w:spacing w:before="0" w:beforeAutospacing="0" w:after="0" w:afterAutospacing="0" w:line="360" w:lineRule="auto"/>
        <w:ind w:firstLine="482" w:firstLineChars="200"/>
        <w:jc w:val="both"/>
        <w:rPr>
          <w:rFonts w:hint="eastAsia" w:ascii="宋体" w:hAnsi="宋体" w:eastAsia="宋体" w:cs="宋体"/>
          <w:b/>
          <w:sz w:val="24"/>
          <w:szCs w:val="24"/>
          <w:highlight w:val="none"/>
        </w:rPr>
      </w:pPr>
      <w:r>
        <w:rPr>
          <w:rFonts w:hint="eastAsia" w:ascii="宋体" w:hAnsi="宋体" w:eastAsia="宋体" w:cs="宋体"/>
          <w:b/>
          <w:kern w:val="2"/>
          <w:sz w:val="24"/>
          <w:szCs w:val="24"/>
          <w:highlight w:val="none"/>
        </w:rPr>
        <w:t>（三）其他要求</w:t>
      </w:r>
    </w:p>
    <w:p w14:paraId="052827D1">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zh-CN"/>
        </w:rPr>
        <w:t>1.报价要求：</w:t>
      </w:r>
      <w:r>
        <w:rPr>
          <w:rFonts w:hint="eastAsia" w:ascii="宋体" w:hAnsi="宋体" w:cs="宋体"/>
          <w:b/>
          <w:bCs/>
          <w:kern w:val="0"/>
          <w:sz w:val="24"/>
          <w:szCs w:val="24"/>
          <w:highlight w:val="none"/>
          <w:lang w:val="zh-CN"/>
        </w:rPr>
        <w:t>（</w:t>
      </w:r>
      <w:r>
        <w:rPr>
          <w:rFonts w:hint="eastAsia" w:ascii="宋体" w:hAnsi="宋体" w:cs="宋体"/>
          <w:b/>
          <w:bCs/>
          <w:kern w:val="0"/>
          <w:sz w:val="24"/>
          <w:szCs w:val="24"/>
          <w:highlight w:val="none"/>
          <w:lang w:val="en-US" w:eastAsia="zh-CN"/>
        </w:rPr>
        <w:t>请供应商填写附件3.</w:t>
      </w:r>
      <w:r>
        <w:rPr>
          <w:rFonts w:hint="eastAsia" w:ascii="宋体" w:hAnsi="宋体" w:eastAsia="宋体" w:cs="宋体"/>
          <w:b/>
          <w:bCs/>
          <w:kern w:val="0"/>
          <w:sz w:val="24"/>
          <w:szCs w:val="24"/>
          <w:highlight w:val="none"/>
          <w:lang w:val="zh-CN"/>
        </w:rPr>
        <w:t>报价文件</w:t>
      </w:r>
      <w:r>
        <w:rPr>
          <w:rFonts w:hint="eastAsia" w:ascii="宋体" w:hAnsi="宋体" w:cs="宋体"/>
          <w:b/>
          <w:bCs/>
          <w:kern w:val="0"/>
          <w:sz w:val="24"/>
          <w:szCs w:val="24"/>
          <w:highlight w:val="none"/>
          <w:lang w:val="zh-CN"/>
        </w:rPr>
        <w:t>）</w:t>
      </w:r>
    </w:p>
    <w:p w14:paraId="125AD3B9">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1.1供应商应根据企业的设备状况、规模、档次、技术水平、社会物价情况和国家有关政策等因素，确定本单位的工时单价，并在报价文件中报出。如超过该项目最高工时限额,超过部分将视为无效。</w:t>
      </w:r>
    </w:p>
    <w:p w14:paraId="61F7D1DD">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1.2如果管辖地物价部门对工时价格核定，供应商所报的各项工时单价不得超过管辖地物价部门核定工时价格。</w:t>
      </w:r>
    </w:p>
    <w:p w14:paraId="5992FE16">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w:t>
      </w:r>
      <w:r>
        <w:rPr>
          <w:rFonts w:hint="eastAsia" w:ascii="宋体" w:hAnsi="宋体" w:cs="宋体"/>
          <w:kern w:val="0"/>
          <w:sz w:val="24"/>
          <w:szCs w:val="24"/>
          <w:highlight w:val="none"/>
          <w:lang w:val="en-US" w:eastAsia="zh-CN"/>
        </w:rPr>
        <w:t>3</w:t>
      </w:r>
      <w:r>
        <w:rPr>
          <w:rFonts w:hint="eastAsia" w:ascii="宋体" w:hAnsi="宋体" w:eastAsia="宋体" w:cs="宋体"/>
          <w:kern w:val="0"/>
          <w:sz w:val="24"/>
          <w:szCs w:val="24"/>
          <w:highlight w:val="none"/>
          <w:lang w:val="zh-CN"/>
        </w:rPr>
        <w:t>其他维修费用要求</w:t>
      </w:r>
    </w:p>
    <w:p w14:paraId="24B86612">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w:t>
      </w:r>
      <w:r>
        <w:rPr>
          <w:rFonts w:hint="eastAsia" w:ascii="宋体" w:hAnsi="宋体" w:cs="宋体"/>
          <w:kern w:val="0"/>
          <w:sz w:val="24"/>
          <w:szCs w:val="24"/>
          <w:highlight w:val="none"/>
          <w:lang w:val="en-US" w:eastAsia="zh-CN"/>
        </w:rPr>
        <w:t>3</w:t>
      </w:r>
      <w:r>
        <w:rPr>
          <w:rFonts w:hint="eastAsia" w:ascii="宋体" w:hAnsi="宋体" w:eastAsia="宋体" w:cs="宋体"/>
          <w:kern w:val="0"/>
          <w:sz w:val="24"/>
          <w:szCs w:val="24"/>
          <w:highlight w:val="none"/>
          <w:lang w:val="zh-CN"/>
        </w:rPr>
        <w:t>.1快速更换电池、轮胎、雨刷、机油、灯泡等在30分钟内免收工时费。</w:t>
      </w:r>
    </w:p>
    <w:p w14:paraId="1F32AFE5">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w:t>
      </w:r>
      <w:r>
        <w:rPr>
          <w:rFonts w:hint="eastAsia" w:ascii="宋体" w:hAnsi="宋体" w:cs="宋体"/>
          <w:kern w:val="0"/>
          <w:sz w:val="24"/>
          <w:szCs w:val="24"/>
          <w:highlight w:val="none"/>
          <w:lang w:val="en-US" w:eastAsia="zh-CN"/>
        </w:rPr>
        <w:t>3</w:t>
      </w:r>
      <w:r>
        <w:rPr>
          <w:rFonts w:hint="eastAsia" w:ascii="宋体" w:hAnsi="宋体" w:eastAsia="宋体" w:cs="宋体"/>
          <w:kern w:val="0"/>
          <w:sz w:val="24"/>
          <w:szCs w:val="24"/>
          <w:highlight w:val="none"/>
          <w:lang w:val="zh-CN"/>
        </w:rPr>
        <w:t>.2实行材料、零配件价格公平、透明机制。</w:t>
      </w:r>
    </w:p>
    <w:p w14:paraId="0793AAFE">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w:t>
      </w:r>
      <w:r>
        <w:rPr>
          <w:rFonts w:hint="eastAsia" w:ascii="宋体" w:hAnsi="宋体" w:cs="宋体"/>
          <w:kern w:val="0"/>
          <w:sz w:val="24"/>
          <w:szCs w:val="24"/>
          <w:highlight w:val="none"/>
          <w:lang w:val="en-US" w:eastAsia="zh-CN"/>
        </w:rPr>
        <w:t>3</w:t>
      </w:r>
      <w:r>
        <w:rPr>
          <w:rFonts w:hint="eastAsia" w:ascii="宋体" w:hAnsi="宋体" w:eastAsia="宋体" w:cs="宋体"/>
          <w:kern w:val="0"/>
          <w:sz w:val="24"/>
          <w:szCs w:val="24"/>
          <w:highlight w:val="none"/>
          <w:lang w:val="zh-CN"/>
        </w:rPr>
        <w:t>.3供应商在维修车辆某一项目时需辅以电脑仪器等现代检测设备检测诊断故障的，使用该设备不应计费。</w:t>
      </w:r>
    </w:p>
    <w:p w14:paraId="42B40CFF">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w:t>
      </w:r>
      <w:r>
        <w:rPr>
          <w:rFonts w:hint="eastAsia" w:ascii="宋体" w:hAnsi="宋体" w:cs="宋体"/>
          <w:kern w:val="0"/>
          <w:sz w:val="24"/>
          <w:szCs w:val="24"/>
          <w:highlight w:val="none"/>
          <w:lang w:val="en-US" w:eastAsia="zh-CN"/>
        </w:rPr>
        <w:t>3</w:t>
      </w:r>
      <w:r>
        <w:rPr>
          <w:rFonts w:hint="eastAsia" w:ascii="宋体" w:hAnsi="宋体" w:eastAsia="宋体" w:cs="宋体"/>
          <w:kern w:val="0"/>
          <w:sz w:val="24"/>
          <w:szCs w:val="24"/>
          <w:highlight w:val="none"/>
          <w:lang w:val="zh-CN"/>
        </w:rPr>
        <w:t>.4对顺德行政区域范围</w:t>
      </w:r>
      <w:r>
        <w:rPr>
          <w:rFonts w:hint="eastAsia" w:ascii="宋体" w:hAnsi="宋体" w:cs="宋体"/>
          <w:kern w:val="0"/>
          <w:sz w:val="24"/>
          <w:szCs w:val="24"/>
          <w:highlight w:val="none"/>
          <w:lang w:val="en-US" w:eastAsia="zh-CN"/>
        </w:rPr>
        <w:t>内、</w:t>
      </w:r>
      <w:r>
        <w:rPr>
          <w:rFonts w:hint="eastAsia" w:ascii="宋体" w:hAnsi="宋体" w:eastAsia="宋体" w:cs="宋体"/>
          <w:kern w:val="0"/>
          <w:sz w:val="24"/>
          <w:szCs w:val="24"/>
          <w:highlight w:val="none"/>
          <w:lang w:val="zh-CN"/>
        </w:rPr>
        <w:t>外的拖车服务进行双方协议，形成价格约定或签署相关协议。</w:t>
      </w:r>
    </w:p>
    <w:p w14:paraId="63EA2AFC">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2.维修费用的计算：</w:t>
      </w:r>
    </w:p>
    <w:p w14:paraId="173EBD9C">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2.1工时费＝工时单价×工时定额。</w:t>
      </w:r>
    </w:p>
    <w:p w14:paraId="25E44A59">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2.</w:t>
      </w: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zh-CN"/>
        </w:rPr>
        <w:t>.1“工时费”通过上述公式作简略计算而确定。</w:t>
      </w:r>
    </w:p>
    <w:p w14:paraId="204B2A1A">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2.</w:t>
      </w: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zh-CN"/>
        </w:rPr>
        <w:t>.2“工时单价”应当根据供应商的设备状况、规模、档次、技术水平、社会物价情况和国家有关政策来核定</w:t>
      </w:r>
      <w:r>
        <w:rPr>
          <w:rFonts w:hint="eastAsia" w:ascii="宋体" w:hAnsi="宋体" w:cs="宋体"/>
          <w:kern w:val="0"/>
          <w:sz w:val="24"/>
          <w:szCs w:val="24"/>
          <w:highlight w:val="none"/>
          <w:lang w:val="zh-CN"/>
        </w:rPr>
        <w:t>。</w:t>
      </w:r>
    </w:p>
    <w:p w14:paraId="7D17DF51">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2.</w:t>
      </w: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zh-CN"/>
        </w:rPr>
        <w:t>.3“工时”是指维修项目的工作时间（工作量），主要取决于车型构造、作业项目、工艺设备、工人熟练程度及管理等因素。</w:t>
      </w:r>
    </w:p>
    <w:p w14:paraId="51816E6F">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zh-CN"/>
        </w:rPr>
        <w:t>.除上述提出的各项服务要求外，供应商可根据自身条件，说明可提供的其他优惠或特色服务，如列出属于免收人工费的维修项目。所提供的优惠或特色服务必须是符合国家有关规定和服务项目相关的内容。</w:t>
      </w:r>
    </w:p>
    <w:p w14:paraId="326D5494">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lang w:val="zh-CN"/>
        </w:rPr>
        <w:t>.供应商必须对需求文件中提及的服务内容和各项要求做出明确的承诺，说明是否可以达到相应的标准以及如何达到。</w:t>
      </w:r>
    </w:p>
    <w:p w14:paraId="5F608EBC">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5</w:t>
      </w:r>
      <w:r>
        <w:rPr>
          <w:rFonts w:hint="eastAsia" w:ascii="宋体" w:hAnsi="宋体" w:eastAsia="宋体" w:cs="宋体"/>
          <w:kern w:val="0"/>
          <w:sz w:val="24"/>
          <w:szCs w:val="24"/>
          <w:highlight w:val="none"/>
          <w:lang w:val="zh-CN"/>
        </w:rPr>
        <w:t>.合同期内，供应商开展新的优惠政策，应向采购人提供不低于其他用户的优惠服务。</w:t>
      </w:r>
    </w:p>
    <w:p w14:paraId="799F303C">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6</w:t>
      </w:r>
      <w:r>
        <w:rPr>
          <w:rFonts w:hint="eastAsia" w:ascii="宋体" w:hAnsi="宋体" w:eastAsia="宋体" w:cs="宋体"/>
          <w:kern w:val="0"/>
          <w:sz w:val="24"/>
          <w:szCs w:val="24"/>
          <w:highlight w:val="none"/>
          <w:lang w:val="zh-CN"/>
        </w:rPr>
        <w:t>.若政府采购部门有相关定点维修服务规定或操作流程出台时，合同双方必须严格依照执行。</w:t>
      </w:r>
    </w:p>
    <w:p w14:paraId="2B230EC2">
      <w:pPr>
        <w:keepLines w:val="0"/>
        <w:pageBreakBefore w:val="0"/>
        <w:tabs>
          <w:tab w:val="left" w:pos="450"/>
          <w:tab w:val="left" w:pos="4770"/>
        </w:tabs>
        <w:kinsoku/>
        <w:wordWrap/>
        <w:overflowPunct/>
        <w:topLinePunct w:val="0"/>
        <w:autoSpaceDE w:val="0"/>
        <w:autoSpaceDN w:val="0"/>
        <w:bidi w:val="0"/>
        <w:adjustRightInd w:val="0"/>
        <w:spacing w:line="360" w:lineRule="auto"/>
        <w:ind w:firstLine="482" w:firstLineChars="20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三、付款方式和条件：</w:t>
      </w:r>
    </w:p>
    <w:p w14:paraId="4BA046B1">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zh-CN"/>
        </w:rPr>
        <w:t>采购人在提车时确认维修清单，</w:t>
      </w:r>
      <w:r>
        <w:rPr>
          <w:rFonts w:hint="eastAsia" w:ascii="宋体" w:hAnsi="宋体" w:eastAsia="宋体" w:cs="宋体"/>
          <w:color w:val="000000"/>
          <w:kern w:val="0"/>
          <w:sz w:val="24"/>
          <w:szCs w:val="24"/>
          <w:highlight w:val="none"/>
          <w:lang w:val="zh-CN"/>
        </w:rPr>
        <w:t>供应商开具相应金额的发票</w:t>
      </w:r>
      <w:r>
        <w:rPr>
          <w:rFonts w:hint="eastAsia" w:ascii="宋体" w:hAnsi="宋体" w:eastAsia="宋体" w:cs="宋体"/>
          <w:kern w:val="0"/>
          <w:sz w:val="24"/>
          <w:szCs w:val="24"/>
          <w:highlight w:val="none"/>
          <w:lang w:val="zh-CN"/>
        </w:rPr>
        <w:t>，</w:t>
      </w:r>
      <w:r>
        <w:rPr>
          <w:rFonts w:hint="eastAsia" w:ascii="宋体" w:hAnsi="宋体" w:eastAsia="宋体" w:cs="宋体"/>
          <w:color w:val="000000"/>
          <w:kern w:val="0"/>
          <w:sz w:val="24"/>
          <w:szCs w:val="24"/>
          <w:highlight w:val="none"/>
          <w:lang w:val="zh-CN"/>
        </w:rPr>
        <w:t>收款方、出具发票方均必须与合同乙方名称一致。</w:t>
      </w:r>
    </w:p>
    <w:p w14:paraId="23FDE25D">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both"/>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2.采购人付款方式为月结，在确认收到发票和双方确认的</w:t>
      </w:r>
      <w:r>
        <w:rPr>
          <w:rFonts w:hint="eastAsia" w:ascii="宋体" w:hAnsi="宋体" w:eastAsia="宋体" w:cs="宋体"/>
          <w:kern w:val="0"/>
          <w:sz w:val="24"/>
          <w:szCs w:val="24"/>
          <w:highlight w:val="none"/>
          <w:lang w:val="zh-CN"/>
        </w:rPr>
        <w:t>维修清单</w:t>
      </w:r>
      <w:r>
        <w:rPr>
          <w:rFonts w:hint="eastAsia" w:ascii="宋体" w:hAnsi="宋体" w:eastAsia="宋体" w:cs="宋体"/>
          <w:kern w:val="0"/>
          <w:sz w:val="24"/>
          <w:szCs w:val="24"/>
          <w:highlight w:val="none"/>
        </w:rPr>
        <w:t>后，30个工作日内</w:t>
      </w:r>
      <w:r>
        <w:rPr>
          <w:rFonts w:hint="eastAsia" w:ascii="宋体" w:hAnsi="宋体" w:eastAsia="宋体" w:cs="宋体"/>
          <w:kern w:val="0"/>
          <w:sz w:val="24"/>
          <w:szCs w:val="24"/>
          <w:highlight w:val="none"/>
          <w:lang w:val="zh-CN"/>
        </w:rPr>
        <w:t>以转账形式支付费用。</w:t>
      </w:r>
    </w:p>
    <w:p w14:paraId="1A73EDA4">
      <w:pPr>
        <w:keepLines w:val="0"/>
        <w:pageBreakBefore w:val="0"/>
        <w:tabs>
          <w:tab w:val="left" w:pos="450"/>
          <w:tab w:val="left" w:pos="4770"/>
        </w:tabs>
        <w:kinsoku/>
        <w:wordWrap/>
        <w:overflowPunct/>
        <w:topLinePunct w:val="0"/>
        <w:autoSpaceDE w:val="0"/>
        <w:autoSpaceDN w:val="0"/>
        <w:bidi w:val="0"/>
        <w:adjustRightInd w:val="0"/>
        <w:spacing w:line="360" w:lineRule="auto"/>
        <w:ind w:firstLine="482" w:firstLineChars="200"/>
        <w:jc w:val="both"/>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四</w:t>
      </w:r>
      <w:r>
        <w:rPr>
          <w:rFonts w:hint="eastAsia" w:ascii="宋体" w:hAnsi="宋体" w:eastAsia="宋体" w:cs="宋体"/>
          <w:b/>
          <w:bCs/>
          <w:sz w:val="24"/>
          <w:szCs w:val="24"/>
          <w:highlight w:val="none"/>
        </w:rPr>
        <w:t>、评选标准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4939"/>
        <w:gridCol w:w="1534"/>
      </w:tblGrid>
      <w:tr w14:paraId="12ADC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9"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8D3ED86">
            <w:pPr>
              <w:keepLines w:val="0"/>
              <w:pageBreakBefore w:val="0"/>
              <w:tabs>
                <w:tab w:val="left" w:pos="450"/>
                <w:tab w:val="left" w:pos="4770"/>
              </w:tabs>
              <w:kinsoku/>
              <w:wordWrap/>
              <w:overflowPunct/>
              <w:topLinePunct w:val="0"/>
              <w:autoSpaceDE w:val="0"/>
              <w:autoSpaceDN w:val="0"/>
              <w:bidi w:val="0"/>
              <w:adjustRightInd w:val="0"/>
              <w:spacing w:line="360" w:lineRule="auto"/>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评审部分</w:t>
            </w:r>
          </w:p>
        </w:tc>
        <w:tc>
          <w:tcPr>
            <w:tcW w:w="4939"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51FF4C5">
            <w:pPr>
              <w:keepLines w:val="0"/>
              <w:pageBreakBefore w:val="0"/>
              <w:tabs>
                <w:tab w:val="left" w:pos="450"/>
                <w:tab w:val="left" w:pos="4770"/>
              </w:tabs>
              <w:kinsoku/>
              <w:wordWrap/>
              <w:overflowPunct/>
              <w:topLinePunct w:val="0"/>
              <w:autoSpaceDE w:val="0"/>
              <w:autoSpaceDN w:val="0"/>
              <w:bidi w:val="0"/>
              <w:adjustRightInd w:val="0"/>
              <w:spacing w:line="360" w:lineRule="auto"/>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项目评分</w:t>
            </w:r>
            <w:r>
              <w:rPr>
                <w:rFonts w:hint="eastAsia" w:ascii="宋体" w:hAnsi="宋体" w:eastAsia="宋体" w:cs="宋体"/>
                <w:kern w:val="0"/>
                <w:sz w:val="24"/>
                <w:szCs w:val="24"/>
                <w:highlight w:val="none"/>
                <w:lang w:val="en-US" w:eastAsia="zh-CN"/>
              </w:rPr>
              <w:t>内容</w:t>
            </w:r>
          </w:p>
        </w:tc>
        <w:tc>
          <w:tcPr>
            <w:tcW w:w="153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713F3E4">
            <w:pPr>
              <w:keepLines w:val="0"/>
              <w:pageBreakBefore w:val="0"/>
              <w:tabs>
                <w:tab w:val="left" w:pos="450"/>
                <w:tab w:val="left" w:pos="4770"/>
              </w:tabs>
              <w:kinsoku/>
              <w:wordWrap/>
              <w:overflowPunct/>
              <w:topLinePunct w:val="0"/>
              <w:autoSpaceDE w:val="0"/>
              <w:autoSpaceDN w:val="0"/>
              <w:bidi w:val="0"/>
              <w:adjustRightInd w:val="0"/>
              <w:spacing w:line="360" w:lineRule="auto"/>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分值</w:t>
            </w:r>
          </w:p>
        </w:tc>
      </w:tr>
      <w:tr w14:paraId="0E4D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9" w:type="dxa"/>
            <w:vMerge w:val="restart"/>
            <w:tcBorders>
              <w:top w:val="single" w:color="auto" w:sz="4" w:space="0"/>
              <w:left w:val="single" w:color="auto" w:sz="4" w:space="0"/>
              <w:right w:val="single" w:color="auto" w:sz="4" w:space="0"/>
            </w:tcBorders>
            <w:shd w:val="clear" w:color="auto" w:fill="FFFFFF"/>
            <w:noWrap w:val="0"/>
            <w:vAlign w:val="center"/>
          </w:tcPr>
          <w:p w14:paraId="3F38F1A3">
            <w:pPr>
              <w:keepLines w:val="0"/>
              <w:pageBreakBefore w:val="0"/>
              <w:tabs>
                <w:tab w:val="left" w:pos="450"/>
                <w:tab w:val="left" w:pos="4770"/>
              </w:tabs>
              <w:kinsoku/>
              <w:wordWrap/>
              <w:overflowPunct/>
              <w:topLinePunct w:val="0"/>
              <w:autoSpaceDE w:val="0"/>
              <w:autoSpaceDN w:val="0"/>
              <w:bidi w:val="0"/>
              <w:adjustRightInd w:val="0"/>
              <w:spacing w:line="360" w:lineRule="auto"/>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商务部分</w:t>
            </w:r>
          </w:p>
        </w:tc>
        <w:tc>
          <w:tcPr>
            <w:tcW w:w="49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CC1683">
            <w:pPr>
              <w:keepLines w:val="0"/>
              <w:pageBreakBefore w:val="0"/>
              <w:tabs>
                <w:tab w:val="left" w:pos="450"/>
                <w:tab w:val="left" w:pos="4770"/>
              </w:tabs>
              <w:kinsoku/>
              <w:wordWrap/>
              <w:overflowPunct/>
              <w:topLinePunct w:val="0"/>
              <w:autoSpaceDE w:val="0"/>
              <w:autoSpaceDN w:val="0"/>
              <w:bidi w:val="0"/>
              <w:adjustRightInd w:val="0"/>
              <w:spacing w:line="360" w:lineRule="auto"/>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zh-CN"/>
              </w:rPr>
              <w:t>公司</w:t>
            </w:r>
            <w:r>
              <w:rPr>
                <w:rFonts w:hint="eastAsia" w:ascii="宋体" w:hAnsi="宋体" w:eastAsia="宋体" w:cs="宋体"/>
                <w:kern w:val="0"/>
                <w:sz w:val="24"/>
                <w:szCs w:val="24"/>
                <w:highlight w:val="none"/>
                <w:lang w:val="en-US" w:eastAsia="zh-CN"/>
              </w:rPr>
              <w:t>综合实力、履约能力</w:t>
            </w:r>
            <w:r>
              <w:rPr>
                <w:rFonts w:hint="eastAsia" w:ascii="宋体" w:hAnsi="宋体" w:eastAsia="宋体" w:cs="宋体"/>
                <w:kern w:val="0"/>
                <w:sz w:val="24"/>
                <w:szCs w:val="24"/>
                <w:highlight w:val="none"/>
                <w:lang w:val="zh-CN"/>
              </w:rPr>
              <w:t>等</w:t>
            </w:r>
          </w:p>
        </w:tc>
        <w:tc>
          <w:tcPr>
            <w:tcW w:w="1534" w:type="dxa"/>
            <w:tcBorders>
              <w:top w:val="single" w:color="auto" w:sz="4" w:space="0"/>
              <w:left w:val="single" w:color="auto" w:sz="4" w:space="0"/>
              <w:right w:val="single" w:color="auto" w:sz="4" w:space="0"/>
            </w:tcBorders>
            <w:shd w:val="clear" w:color="auto" w:fill="FFFFFF"/>
            <w:noWrap w:val="0"/>
            <w:vAlign w:val="center"/>
          </w:tcPr>
          <w:p w14:paraId="602930DB">
            <w:pPr>
              <w:keepLines w:val="0"/>
              <w:pageBreakBefore w:val="0"/>
              <w:tabs>
                <w:tab w:val="left" w:pos="450"/>
                <w:tab w:val="left" w:pos="4770"/>
              </w:tabs>
              <w:kinsoku/>
              <w:wordWrap/>
              <w:overflowPunct/>
              <w:topLinePunct w:val="0"/>
              <w:autoSpaceDE w:val="0"/>
              <w:autoSpaceDN w:val="0"/>
              <w:bidi w:val="0"/>
              <w:adjustRightInd w:val="0"/>
              <w:spacing w:line="360" w:lineRule="auto"/>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w:t>
            </w:r>
          </w:p>
        </w:tc>
      </w:tr>
      <w:tr w14:paraId="409A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9" w:type="dxa"/>
            <w:vMerge w:val="continue"/>
            <w:tcBorders>
              <w:left w:val="single" w:color="auto" w:sz="4" w:space="0"/>
              <w:bottom w:val="single" w:color="auto" w:sz="4" w:space="0"/>
              <w:right w:val="single" w:color="auto" w:sz="4" w:space="0"/>
            </w:tcBorders>
            <w:shd w:val="clear" w:color="auto" w:fill="FFFFFF"/>
            <w:noWrap w:val="0"/>
            <w:vAlign w:val="center"/>
          </w:tcPr>
          <w:p w14:paraId="474CBDFB">
            <w:pPr>
              <w:keepLines w:val="0"/>
              <w:pageBreakBefore w:val="0"/>
              <w:tabs>
                <w:tab w:val="left" w:pos="450"/>
                <w:tab w:val="left" w:pos="4770"/>
              </w:tabs>
              <w:kinsoku/>
              <w:wordWrap/>
              <w:overflowPunct/>
              <w:topLinePunct w:val="0"/>
              <w:autoSpaceDE w:val="0"/>
              <w:autoSpaceDN w:val="0"/>
              <w:bidi w:val="0"/>
              <w:adjustRightInd w:val="0"/>
              <w:spacing w:line="360" w:lineRule="auto"/>
              <w:ind w:firstLine="480" w:firstLineChars="200"/>
              <w:jc w:val="center"/>
              <w:rPr>
                <w:rFonts w:hint="eastAsia" w:ascii="宋体" w:hAnsi="宋体" w:eastAsia="宋体" w:cs="宋体"/>
                <w:kern w:val="0"/>
                <w:sz w:val="24"/>
                <w:szCs w:val="24"/>
                <w:highlight w:val="none"/>
                <w:lang w:val="zh-CN"/>
              </w:rPr>
            </w:pPr>
          </w:p>
        </w:tc>
        <w:tc>
          <w:tcPr>
            <w:tcW w:w="49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4D7BF8">
            <w:pPr>
              <w:keepLines w:val="0"/>
              <w:pageBreakBefore w:val="0"/>
              <w:tabs>
                <w:tab w:val="left" w:pos="450"/>
                <w:tab w:val="left" w:pos="4770"/>
              </w:tabs>
              <w:kinsoku/>
              <w:wordWrap/>
              <w:overflowPunct/>
              <w:topLinePunct w:val="0"/>
              <w:autoSpaceDE w:val="0"/>
              <w:autoSpaceDN w:val="0"/>
              <w:bidi w:val="0"/>
              <w:adjustRightIn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zh-CN"/>
              </w:rPr>
              <w:t>近三年相关业绩情况</w:t>
            </w:r>
          </w:p>
        </w:tc>
        <w:tc>
          <w:tcPr>
            <w:tcW w:w="1534" w:type="dxa"/>
            <w:tcBorders>
              <w:left w:val="single" w:color="auto" w:sz="4" w:space="0"/>
              <w:bottom w:val="single" w:color="auto" w:sz="4" w:space="0"/>
              <w:right w:val="single" w:color="auto" w:sz="4" w:space="0"/>
            </w:tcBorders>
            <w:shd w:val="clear" w:color="auto" w:fill="FFFFFF"/>
            <w:noWrap w:val="0"/>
            <w:vAlign w:val="center"/>
          </w:tcPr>
          <w:p w14:paraId="3510EF16">
            <w:pPr>
              <w:keepLines w:val="0"/>
              <w:pageBreakBefore w:val="0"/>
              <w:tabs>
                <w:tab w:val="left" w:pos="450"/>
                <w:tab w:val="left" w:pos="4770"/>
              </w:tabs>
              <w:kinsoku/>
              <w:wordWrap/>
              <w:overflowPunct/>
              <w:topLinePunct w:val="0"/>
              <w:autoSpaceDE w:val="0"/>
              <w:autoSpaceDN w:val="0"/>
              <w:bidi w:val="0"/>
              <w:adjustRightInd w:val="0"/>
              <w:spacing w:line="360" w:lineRule="auto"/>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10</w:t>
            </w:r>
          </w:p>
        </w:tc>
      </w:tr>
      <w:tr w14:paraId="049A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90D6FD">
            <w:pPr>
              <w:keepLines w:val="0"/>
              <w:pageBreakBefore w:val="0"/>
              <w:tabs>
                <w:tab w:val="left" w:pos="450"/>
                <w:tab w:val="left" w:pos="4770"/>
              </w:tabs>
              <w:kinsoku/>
              <w:wordWrap/>
              <w:overflowPunct/>
              <w:topLinePunct w:val="0"/>
              <w:autoSpaceDE w:val="0"/>
              <w:autoSpaceDN w:val="0"/>
              <w:bidi w:val="0"/>
              <w:adjustRightInd w:val="0"/>
              <w:spacing w:line="360" w:lineRule="auto"/>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zh-CN"/>
              </w:rPr>
              <w:t>技术</w:t>
            </w:r>
            <w:r>
              <w:rPr>
                <w:rFonts w:hint="eastAsia" w:ascii="宋体" w:hAnsi="宋体" w:eastAsia="宋体" w:cs="宋体"/>
                <w:kern w:val="0"/>
                <w:sz w:val="24"/>
                <w:szCs w:val="24"/>
                <w:highlight w:val="none"/>
                <w:lang w:val="en-US" w:eastAsia="zh-CN"/>
              </w:rPr>
              <w:t>部分与</w:t>
            </w:r>
            <w:r>
              <w:rPr>
                <w:rFonts w:hint="eastAsia" w:ascii="宋体" w:hAnsi="宋体" w:eastAsia="宋体" w:cs="宋体"/>
                <w:kern w:val="0"/>
                <w:sz w:val="24"/>
                <w:szCs w:val="24"/>
                <w:highlight w:val="none"/>
                <w:lang w:val="zh-CN"/>
              </w:rPr>
              <w:t>服务方案</w:t>
            </w:r>
          </w:p>
        </w:tc>
        <w:tc>
          <w:tcPr>
            <w:tcW w:w="49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5AE6AC">
            <w:pPr>
              <w:keepLines w:val="0"/>
              <w:pageBreakBefore w:val="0"/>
              <w:tabs>
                <w:tab w:val="left" w:pos="450"/>
                <w:tab w:val="left" w:pos="4770"/>
              </w:tabs>
              <w:kinsoku/>
              <w:wordWrap/>
              <w:overflowPunct/>
              <w:topLinePunct w:val="0"/>
              <w:autoSpaceDE w:val="0"/>
              <w:autoSpaceDN w:val="0"/>
              <w:bidi w:val="0"/>
              <w:adjustRightInd w:val="0"/>
              <w:spacing w:line="360" w:lineRule="auto"/>
              <w:jc w:val="left"/>
              <w:rPr>
                <w:rFonts w:hint="eastAsia" w:ascii="宋体" w:hAnsi="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总体服务方案(</w:t>
            </w:r>
            <w:r>
              <w:rPr>
                <w:rFonts w:hint="eastAsia" w:ascii="宋体" w:hAnsi="宋体" w:cs="宋体"/>
                <w:kern w:val="0"/>
                <w:sz w:val="24"/>
                <w:szCs w:val="24"/>
                <w:highlight w:val="none"/>
                <w:lang w:val="en-US" w:eastAsia="zh-CN"/>
              </w:rPr>
              <w:t>如：</w:t>
            </w:r>
            <w:r>
              <w:rPr>
                <w:rFonts w:hint="eastAsia" w:ascii="宋体" w:hAnsi="宋体" w:eastAsia="宋体" w:cs="宋体"/>
                <w:kern w:val="0"/>
                <w:sz w:val="24"/>
                <w:szCs w:val="24"/>
                <w:highlight w:val="none"/>
                <w:lang w:val="en-US" w:eastAsia="zh-CN"/>
              </w:rPr>
              <w:t>日常保养服务、故障维修服务、增值配套服务、服务便利性等)</w:t>
            </w:r>
            <w:r>
              <w:rPr>
                <w:rFonts w:hint="eastAsia" w:ascii="宋体" w:hAnsi="宋体" w:cs="宋体"/>
                <w:kern w:val="0"/>
                <w:sz w:val="24"/>
                <w:szCs w:val="24"/>
                <w:highlight w:val="none"/>
                <w:lang w:val="en-US" w:eastAsia="zh-CN"/>
              </w:rPr>
              <w:t>；</w:t>
            </w:r>
          </w:p>
          <w:p w14:paraId="773CA5D6">
            <w:pPr>
              <w:keepLines w:val="0"/>
              <w:pageBreakBefore w:val="0"/>
              <w:tabs>
                <w:tab w:val="left" w:pos="450"/>
                <w:tab w:val="left" w:pos="4770"/>
              </w:tabs>
              <w:kinsoku/>
              <w:wordWrap/>
              <w:overflowPunct/>
              <w:topLinePunct w:val="0"/>
              <w:autoSpaceDE w:val="0"/>
              <w:autoSpaceDN w:val="0"/>
              <w:bidi w:val="0"/>
              <w:adjustRightInd w:val="0"/>
              <w:spacing w:line="360" w:lineRule="auto"/>
              <w:jc w:val="left"/>
              <w:rPr>
                <w:rFonts w:hint="eastAsia" w:ascii="宋体" w:hAnsi="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应急方案(</w:t>
            </w:r>
            <w:r>
              <w:rPr>
                <w:rFonts w:hint="eastAsia" w:ascii="宋体" w:hAnsi="宋体" w:cs="宋体"/>
                <w:kern w:val="0"/>
                <w:sz w:val="24"/>
                <w:szCs w:val="24"/>
                <w:highlight w:val="none"/>
                <w:lang w:val="en-US" w:eastAsia="zh-CN"/>
              </w:rPr>
              <w:t>如：</w:t>
            </w:r>
            <w:r>
              <w:rPr>
                <w:rFonts w:hint="eastAsia" w:ascii="宋体" w:hAnsi="宋体" w:eastAsia="宋体" w:cs="宋体"/>
                <w:kern w:val="0"/>
                <w:sz w:val="24"/>
                <w:szCs w:val="24"/>
                <w:highlight w:val="none"/>
                <w:lang w:val="en-US" w:eastAsia="zh-CN"/>
              </w:rPr>
              <w:t>应急救援、急修快修、应急拖车、紧急上门服务接送故障车辆、特殊情况应急方案等)</w:t>
            </w:r>
            <w:r>
              <w:rPr>
                <w:rFonts w:hint="eastAsia" w:ascii="宋体" w:hAnsi="宋体" w:cs="宋体"/>
                <w:kern w:val="0"/>
                <w:sz w:val="24"/>
                <w:szCs w:val="24"/>
                <w:highlight w:val="none"/>
                <w:lang w:val="en-US" w:eastAsia="zh-CN"/>
              </w:rPr>
              <w:t>；</w:t>
            </w:r>
          </w:p>
          <w:p w14:paraId="6AEAD921">
            <w:pPr>
              <w:keepLines w:val="0"/>
              <w:pageBreakBefore w:val="0"/>
              <w:tabs>
                <w:tab w:val="left" w:pos="450"/>
                <w:tab w:val="left" w:pos="4770"/>
              </w:tabs>
              <w:kinsoku/>
              <w:wordWrap/>
              <w:overflowPunct/>
              <w:topLinePunct w:val="0"/>
              <w:autoSpaceDE w:val="0"/>
              <w:autoSpaceDN w:val="0"/>
              <w:bidi w:val="0"/>
              <w:adjustRightInd w:val="0"/>
              <w:spacing w:line="360" w:lineRule="auto"/>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车辆维修质量保证措施（</w:t>
            </w:r>
            <w:r>
              <w:rPr>
                <w:rFonts w:hint="eastAsia" w:ascii="宋体" w:hAnsi="宋体" w:cs="宋体"/>
                <w:kern w:val="0"/>
                <w:sz w:val="24"/>
                <w:szCs w:val="24"/>
                <w:highlight w:val="none"/>
                <w:lang w:val="en-US" w:eastAsia="zh-CN"/>
              </w:rPr>
              <w:t>如：</w:t>
            </w:r>
            <w:r>
              <w:rPr>
                <w:rFonts w:hint="eastAsia" w:ascii="宋体" w:hAnsi="宋体" w:eastAsia="宋体" w:cs="宋体"/>
                <w:kern w:val="0"/>
                <w:sz w:val="24"/>
                <w:szCs w:val="24"/>
                <w:highlight w:val="none"/>
                <w:lang w:val="en-US" w:eastAsia="zh-CN"/>
              </w:rPr>
              <w:t>维修质量的保障措施</w:t>
            </w:r>
            <w:r>
              <w:rPr>
                <w:rFonts w:hint="eastAsia" w:ascii="宋体" w:hAnsi="宋体" w:cs="宋体"/>
                <w:kern w:val="0"/>
                <w:sz w:val="24"/>
                <w:szCs w:val="24"/>
                <w:highlight w:val="none"/>
                <w:lang w:val="en-US" w:eastAsia="zh-CN"/>
              </w:rPr>
              <w:t>、</w:t>
            </w:r>
            <w:r>
              <w:rPr>
                <w:rFonts w:hint="eastAsia" w:ascii="宋体" w:hAnsi="宋体" w:eastAsia="宋体" w:cs="宋体"/>
                <w:kern w:val="0"/>
                <w:sz w:val="24"/>
                <w:szCs w:val="24"/>
                <w:highlight w:val="none"/>
                <w:lang w:val="en-US" w:eastAsia="zh-CN"/>
              </w:rPr>
              <w:t>维修车辆档案的建立情况</w:t>
            </w:r>
            <w:r>
              <w:rPr>
                <w:rFonts w:hint="eastAsia" w:ascii="宋体" w:hAnsi="宋体" w:cs="宋体"/>
                <w:kern w:val="0"/>
                <w:sz w:val="24"/>
                <w:szCs w:val="24"/>
                <w:highlight w:val="none"/>
                <w:lang w:val="en-US" w:eastAsia="zh-CN"/>
              </w:rPr>
              <w:t>等</w:t>
            </w:r>
            <w:r>
              <w:rPr>
                <w:rFonts w:hint="eastAsia" w:ascii="宋体" w:hAnsi="宋体" w:eastAsia="宋体" w:cs="宋体"/>
                <w:kern w:val="0"/>
                <w:sz w:val="24"/>
                <w:szCs w:val="24"/>
                <w:highlight w:val="none"/>
                <w:lang w:val="en-US" w:eastAsia="zh-CN"/>
              </w:rPr>
              <w:t>）</w:t>
            </w:r>
          </w:p>
        </w:tc>
        <w:tc>
          <w:tcPr>
            <w:tcW w:w="15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54A382">
            <w:pPr>
              <w:keepLines w:val="0"/>
              <w:pageBreakBefore w:val="0"/>
              <w:tabs>
                <w:tab w:val="left" w:pos="450"/>
                <w:tab w:val="left" w:pos="4770"/>
              </w:tabs>
              <w:kinsoku/>
              <w:wordWrap/>
              <w:overflowPunct/>
              <w:topLinePunct w:val="0"/>
              <w:autoSpaceDE w:val="0"/>
              <w:autoSpaceDN w:val="0"/>
              <w:bidi w:val="0"/>
              <w:adjustRightInd w:val="0"/>
              <w:spacing w:line="360" w:lineRule="auto"/>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40</w:t>
            </w:r>
          </w:p>
        </w:tc>
      </w:tr>
      <w:tr w14:paraId="796C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4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37B19E">
            <w:pPr>
              <w:keepLines w:val="0"/>
              <w:pageBreakBefore w:val="0"/>
              <w:tabs>
                <w:tab w:val="left" w:pos="450"/>
                <w:tab w:val="left" w:pos="4770"/>
              </w:tabs>
              <w:kinsoku/>
              <w:wordWrap/>
              <w:overflowPunct/>
              <w:topLinePunct w:val="0"/>
              <w:autoSpaceDE w:val="0"/>
              <w:autoSpaceDN w:val="0"/>
              <w:bidi w:val="0"/>
              <w:adjustRightIn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zh-CN"/>
              </w:rPr>
              <w:t>价格部分</w:t>
            </w:r>
          </w:p>
        </w:tc>
        <w:tc>
          <w:tcPr>
            <w:tcW w:w="49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206611">
            <w:pPr>
              <w:keepLines w:val="0"/>
              <w:pageBreakBefore w:val="0"/>
              <w:tabs>
                <w:tab w:val="left" w:pos="450"/>
                <w:tab w:val="left" w:pos="4770"/>
              </w:tabs>
              <w:kinsoku/>
              <w:wordWrap/>
              <w:overflowPunct/>
              <w:topLinePunct w:val="0"/>
              <w:autoSpaceDE w:val="0"/>
              <w:autoSpaceDN w:val="0"/>
              <w:bidi w:val="0"/>
              <w:adjustRightInd w:val="0"/>
              <w:spacing w:line="360" w:lineRule="auto"/>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zh-CN"/>
              </w:rPr>
              <w:t>业务</w:t>
            </w:r>
            <w:r>
              <w:rPr>
                <w:rFonts w:hint="default" w:ascii="宋体" w:hAnsi="宋体" w:eastAsia="宋体" w:cs="宋体"/>
                <w:kern w:val="0"/>
                <w:sz w:val="24"/>
                <w:szCs w:val="24"/>
                <w:highlight w:val="none"/>
                <w:lang w:val="zh-CN"/>
              </w:rPr>
              <w:t>报价</w:t>
            </w:r>
          </w:p>
        </w:tc>
        <w:tc>
          <w:tcPr>
            <w:tcW w:w="15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8BE604">
            <w:pPr>
              <w:keepLines w:val="0"/>
              <w:pageBreakBefore w:val="0"/>
              <w:tabs>
                <w:tab w:val="left" w:pos="450"/>
                <w:tab w:val="left" w:pos="4770"/>
              </w:tabs>
              <w:kinsoku/>
              <w:wordWrap/>
              <w:overflowPunct/>
              <w:topLinePunct w:val="0"/>
              <w:autoSpaceDE w:val="0"/>
              <w:autoSpaceDN w:val="0"/>
              <w:bidi w:val="0"/>
              <w:adjustRightInd w:val="0"/>
              <w:spacing w:line="360" w:lineRule="auto"/>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40</w:t>
            </w:r>
          </w:p>
        </w:tc>
      </w:tr>
      <w:tr w14:paraId="0082B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39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4C846B">
            <w:pPr>
              <w:keepLines w:val="0"/>
              <w:pageBreakBefore w:val="0"/>
              <w:tabs>
                <w:tab w:val="left" w:pos="450"/>
                <w:tab w:val="left" w:pos="4770"/>
              </w:tabs>
              <w:kinsoku/>
              <w:wordWrap/>
              <w:overflowPunct/>
              <w:topLinePunct w:val="0"/>
              <w:autoSpaceDE w:val="0"/>
              <w:autoSpaceDN w:val="0"/>
              <w:bidi w:val="0"/>
              <w:adjustRightInd w:val="0"/>
              <w:spacing w:line="360" w:lineRule="auto"/>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合计</w:t>
            </w:r>
          </w:p>
        </w:tc>
        <w:tc>
          <w:tcPr>
            <w:tcW w:w="15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5DD467">
            <w:pPr>
              <w:keepLines w:val="0"/>
              <w:pageBreakBefore w:val="0"/>
              <w:tabs>
                <w:tab w:val="left" w:pos="450"/>
                <w:tab w:val="left" w:pos="4770"/>
              </w:tabs>
              <w:kinsoku/>
              <w:wordWrap/>
              <w:overflowPunct/>
              <w:topLinePunct w:val="0"/>
              <w:autoSpaceDE w:val="0"/>
              <w:autoSpaceDN w:val="0"/>
              <w:bidi w:val="0"/>
              <w:adjustRightInd w:val="0"/>
              <w:spacing w:line="360" w:lineRule="auto"/>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100</w:t>
            </w:r>
          </w:p>
        </w:tc>
      </w:tr>
    </w:tbl>
    <w:p w14:paraId="67ECB396">
      <w:pPr>
        <w:pStyle w:val="2"/>
        <w:rPr>
          <w:rFonts w:hint="eastAsia"/>
          <w:lang w:val="zh-CN"/>
        </w:rPr>
      </w:pPr>
    </w:p>
    <w:p w14:paraId="6453D349">
      <w:pPr>
        <w:spacing w:line="360" w:lineRule="auto"/>
        <w:ind w:firstLine="420" w:firstLineChars="200"/>
        <w:rPr>
          <w:rFonts w:ascii="宋体" w:hAnsi="宋体" w:cs="宋体"/>
          <w:kern w:val="0"/>
          <w:szCs w:val="21"/>
          <w:highlight w:val="none"/>
          <w:lang w:val="zh-CN"/>
        </w:rPr>
      </w:pPr>
    </w:p>
    <w:p w14:paraId="173713DA">
      <w:pPr>
        <w:tabs>
          <w:tab w:val="left" w:pos="425"/>
        </w:tabs>
        <w:spacing w:line="440" w:lineRule="exact"/>
        <w:rPr>
          <w:rFonts w:ascii="宋体"/>
          <w:highlight w:val="none"/>
        </w:rPr>
      </w:pPr>
    </w:p>
    <w:sectPr>
      <w:headerReference r:id="rId3" w:type="default"/>
      <w:footerReference r:id="rId4" w:type="default"/>
      <w:pgSz w:w="11850" w:h="16783"/>
      <w:pgMar w:top="1440" w:right="1080" w:bottom="1440"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39731">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6FE4D4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KfSyTXAQAAswMAAA4AAAAAAAAAAQAgAAAA&#10;HgEAAGRycy9lMm9Eb2MueG1sUEsFBgAAAAAGAAYAWQEAAGcFAAAAAA==&#10;">
              <v:fill on="f" focussize="0,0"/>
              <v:stroke on="f"/>
              <v:imagedata o:title=""/>
              <o:lock v:ext="edit" aspectratio="f"/>
              <v:textbox inset="0mm,0mm,0mm,0mm" style="mso-fit-shape-to-text:t;">
                <w:txbxContent>
                  <w:p w14:paraId="66FE4D4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A2C24">
    <w:pPr>
      <w:pStyle w:val="2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C7C35"/>
    <w:multiLevelType w:val="multilevel"/>
    <w:tmpl w:val="076C7C35"/>
    <w:lvl w:ilvl="0" w:tentative="0">
      <w:start w:val="1"/>
      <w:numFmt w:val="decimal"/>
      <w:pStyle w:val="56"/>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25AC778E"/>
    <w:multiLevelType w:val="multilevel"/>
    <w:tmpl w:val="25AC778E"/>
    <w:lvl w:ilvl="0" w:tentative="0">
      <w:start w:val="1"/>
      <w:numFmt w:val="japaneseCounting"/>
      <w:pStyle w:val="59"/>
      <w:lvlText w:val="%1、"/>
      <w:lvlJc w:val="left"/>
      <w:pPr>
        <w:tabs>
          <w:tab w:val="left" w:pos="420"/>
        </w:tabs>
        <w:ind w:left="420" w:hanging="420"/>
      </w:pPr>
      <w:rPr>
        <w:rFonts w:ascii="宋体" w:hAnsi="宋体" w:eastAsia="宋体" w:cs="Courier New"/>
        <w:b/>
        <w:sz w:val="24"/>
        <w:szCs w:val="24"/>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NotTrackFormatting/>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mY0OGFiZjA2Y2JkNzFmYzFlNDg1Y2M2NDBmZTgifQ=="/>
  </w:docVars>
  <w:rsids>
    <w:rsidRoot w:val="004F1B30"/>
    <w:rsid w:val="00092588"/>
    <w:rsid w:val="000F568C"/>
    <w:rsid w:val="001B5439"/>
    <w:rsid w:val="00247D5A"/>
    <w:rsid w:val="002544E6"/>
    <w:rsid w:val="002800ED"/>
    <w:rsid w:val="002A0158"/>
    <w:rsid w:val="002C3DCE"/>
    <w:rsid w:val="003224D8"/>
    <w:rsid w:val="003A3511"/>
    <w:rsid w:val="0042567A"/>
    <w:rsid w:val="004271B0"/>
    <w:rsid w:val="00441988"/>
    <w:rsid w:val="00462924"/>
    <w:rsid w:val="004F1B30"/>
    <w:rsid w:val="005136C7"/>
    <w:rsid w:val="00522BDE"/>
    <w:rsid w:val="0052527F"/>
    <w:rsid w:val="0059746B"/>
    <w:rsid w:val="005A0C28"/>
    <w:rsid w:val="005C27FC"/>
    <w:rsid w:val="005F6D5F"/>
    <w:rsid w:val="006261DE"/>
    <w:rsid w:val="006C6658"/>
    <w:rsid w:val="007177BD"/>
    <w:rsid w:val="00724CAA"/>
    <w:rsid w:val="007708EE"/>
    <w:rsid w:val="00777AC3"/>
    <w:rsid w:val="00797E19"/>
    <w:rsid w:val="007A0A87"/>
    <w:rsid w:val="007D0A19"/>
    <w:rsid w:val="007D5B31"/>
    <w:rsid w:val="007E3117"/>
    <w:rsid w:val="008C646F"/>
    <w:rsid w:val="009150E0"/>
    <w:rsid w:val="0095627D"/>
    <w:rsid w:val="00961ADA"/>
    <w:rsid w:val="009D6CE5"/>
    <w:rsid w:val="009E1772"/>
    <w:rsid w:val="009E600B"/>
    <w:rsid w:val="00A13895"/>
    <w:rsid w:val="00A36B62"/>
    <w:rsid w:val="00A67C1C"/>
    <w:rsid w:val="00A77363"/>
    <w:rsid w:val="00AA382D"/>
    <w:rsid w:val="00AB4E3F"/>
    <w:rsid w:val="00B355BB"/>
    <w:rsid w:val="00B5366A"/>
    <w:rsid w:val="00B704A9"/>
    <w:rsid w:val="00BC7C59"/>
    <w:rsid w:val="00BD2B89"/>
    <w:rsid w:val="00C22A64"/>
    <w:rsid w:val="00C8570F"/>
    <w:rsid w:val="00D06D6E"/>
    <w:rsid w:val="00D52D08"/>
    <w:rsid w:val="00D65839"/>
    <w:rsid w:val="00DD40A9"/>
    <w:rsid w:val="00DE3F81"/>
    <w:rsid w:val="00DF5FA2"/>
    <w:rsid w:val="00E24867"/>
    <w:rsid w:val="00E25D4E"/>
    <w:rsid w:val="00E64EF3"/>
    <w:rsid w:val="00E7574A"/>
    <w:rsid w:val="00E80C97"/>
    <w:rsid w:val="00F03FB7"/>
    <w:rsid w:val="00F952B6"/>
    <w:rsid w:val="05953585"/>
    <w:rsid w:val="06542AF7"/>
    <w:rsid w:val="066F077B"/>
    <w:rsid w:val="07034156"/>
    <w:rsid w:val="070D775C"/>
    <w:rsid w:val="0765299A"/>
    <w:rsid w:val="0793502C"/>
    <w:rsid w:val="07DE0237"/>
    <w:rsid w:val="08BF4AEA"/>
    <w:rsid w:val="08E66393"/>
    <w:rsid w:val="09C41C6C"/>
    <w:rsid w:val="0A3D0F63"/>
    <w:rsid w:val="0A6D1B2A"/>
    <w:rsid w:val="0A8F2ABA"/>
    <w:rsid w:val="0CC07278"/>
    <w:rsid w:val="0DB07E20"/>
    <w:rsid w:val="0FE708DB"/>
    <w:rsid w:val="10480803"/>
    <w:rsid w:val="10F23226"/>
    <w:rsid w:val="138A3509"/>
    <w:rsid w:val="13C2170E"/>
    <w:rsid w:val="149920BF"/>
    <w:rsid w:val="15060274"/>
    <w:rsid w:val="15BC2824"/>
    <w:rsid w:val="17137EAB"/>
    <w:rsid w:val="174060A3"/>
    <w:rsid w:val="17AE6CD4"/>
    <w:rsid w:val="18720867"/>
    <w:rsid w:val="192E79AB"/>
    <w:rsid w:val="19D90D46"/>
    <w:rsid w:val="1A111A1A"/>
    <w:rsid w:val="1B0B3765"/>
    <w:rsid w:val="1D0D1432"/>
    <w:rsid w:val="1D5030CD"/>
    <w:rsid w:val="1E544141"/>
    <w:rsid w:val="1F095325"/>
    <w:rsid w:val="200A3A0C"/>
    <w:rsid w:val="241D6FC2"/>
    <w:rsid w:val="244B14BA"/>
    <w:rsid w:val="249259F9"/>
    <w:rsid w:val="24BA3499"/>
    <w:rsid w:val="26076186"/>
    <w:rsid w:val="271D7EF2"/>
    <w:rsid w:val="276145F5"/>
    <w:rsid w:val="29622B06"/>
    <w:rsid w:val="2A435547"/>
    <w:rsid w:val="2BCB017A"/>
    <w:rsid w:val="2D2307FE"/>
    <w:rsid w:val="2E570595"/>
    <w:rsid w:val="2F2B0A76"/>
    <w:rsid w:val="2F363335"/>
    <w:rsid w:val="30FE7132"/>
    <w:rsid w:val="325D1A45"/>
    <w:rsid w:val="3264386C"/>
    <w:rsid w:val="33452D1C"/>
    <w:rsid w:val="35315E03"/>
    <w:rsid w:val="35BE7316"/>
    <w:rsid w:val="391B682D"/>
    <w:rsid w:val="3AA731D1"/>
    <w:rsid w:val="3BDA7281"/>
    <w:rsid w:val="3EF60D22"/>
    <w:rsid w:val="3F143E87"/>
    <w:rsid w:val="3F4E6A40"/>
    <w:rsid w:val="3FDE5FF4"/>
    <w:rsid w:val="4053213D"/>
    <w:rsid w:val="41625FCF"/>
    <w:rsid w:val="459A3F8A"/>
    <w:rsid w:val="45C55A21"/>
    <w:rsid w:val="46E01544"/>
    <w:rsid w:val="47F20C3B"/>
    <w:rsid w:val="48A145FA"/>
    <w:rsid w:val="48C42EAD"/>
    <w:rsid w:val="49432479"/>
    <w:rsid w:val="4B0B6930"/>
    <w:rsid w:val="4B371E47"/>
    <w:rsid w:val="4C7C64B9"/>
    <w:rsid w:val="4DAF0B1C"/>
    <w:rsid w:val="4E604FB7"/>
    <w:rsid w:val="4EBD163F"/>
    <w:rsid w:val="4ECE236A"/>
    <w:rsid w:val="4F336F32"/>
    <w:rsid w:val="4FFE6C2A"/>
    <w:rsid w:val="501903FD"/>
    <w:rsid w:val="510B6936"/>
    <w:rsid w:val="512007D6"/>
    <w:rsid w:val="520E36E4"/>
    <w:rsid w:val="52A00F51"/>
    <w:rsid w:val="53712DDA"/>
    <w:rsid w:val="537B1F4B"/>
    <w:rsid w:val="53851181"/>
    <w:rsid w:val="53EC1FB6"/>
    <w:rsid w:val="53FE70E3"/>
    <w:rsid w:val="543933F8"/>
    <w:rsid w:val="545B3352"/>
    <w:rsid w:val="54BE2982"/>
    <w:rsid w:val="54E90FB3"/>
    <w:rsid w:val="55826333"/>
    <w:rsid w:val="594A49DE"/>
    <w:rsid w:val="59B74F07"/>
    <w:rsid w:val="5A4A66B4"/>
    <w:rsid w:val="5DBE7F56"/>
    <w:rsid w:val="5F04518C"/>
    <w:rsid w:val="5F9745B0"/>
    <w:rsid w:val="5FD3236E"/>
    <w:rsid w:val="60D3786A"/>
    <w:rsid w:val="64283A29"/>
    <w:rsid w:val="64A6531D"/>
    <w:rsid w:val="65E01E3D"/>
    <w:rsid w:val="66A14133"/>
    <w:rsid w:val="66F35ED3"/>
    <w:rsid w:val="673736E7"/>
    <w:rsid w:val="67EE7BAF"/>
    <w:rsid w:val="6A6D4BD0"/>
    <w:rsid w:val="6C834E91"/>
    <w:rsid w:val="6E8348DA"/>
    <w:rsid w:val="7148612D"/>
    <w:rsid w:val="71621B56"/>
    <w:rsid w:val="71660588"/>
    <w:rsid w:val="72B312A9"/>
    <w:rsid w:val="733D0858"/>
    <w:rsid w:val="73591E51"/>
    <w:rsid w:val="756D37B9"/>
    <w:rsid w:val="75C04BA0"/>
    <w:rsid w:val="77CF6F1B"/>
    <w:rsid w:val="79563E0C"/>
    <w:rsid w:val="7ADB7B1D"/>
    <w:rsid w:val="7B476A33"/>
    <w:rsid w:val="7B9B585B"/>
    <w:rsid w:val="7CCB1587"/>
    <w:rsid w:val="7D87211E"/>
    <w:rsid w:val="7E9E607A"/>
    <w:rsid w:val="7EB952AE"/>
    <w:rsid w:val="7EEC455A"/>
    <w:rsid w:val="7FE535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9"/>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90"/>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91"/>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36"/>
    <w:autoRedefine/>
    <w:qFormat/>
    <w:uiPriority w:val="0"/>
    <w:pPr>
      <w:keepNext/>
      <w:keepLines/>
      <w:widowControl/>
      <w:spacing w:before="280" w:after="290" w:line="376" w:lineRule="auto"/>
      <w:jc w:val="left"/>
      <w:outlineLvl w:val="4"/>
    </w:pPr>
    <w:rPr>
      <w:b/>
      <w:bCs/>
      <w:kern w:val="0"/>
      <w:sz w:val="28"/>
      <w:szCs w:val="28"/>
    </w:rPr>
  </w:style>
  <w:style w:type="paragraph" w:styleId="8">
    <w:name w:val="heading 6"/>
    <w:basedOn w:val="1"/>
    <w:next w:val="2"/>
    <w:link w:val="93"/>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137"/>
    <w:autoRedefine/>
    <w:qFormat/>
    <w:uiPriority w:val="0"/>
    <w:pPr>
      <w:keepNext/>
      <w:keepLines/>
      <w:widowControl/>
      <w:spacing w:before="240" w:after="64" w:line="320" w:lineRule="auto"/>
      <w:jc w:val="left"/>
      <w:outlineLvl w:val="6"/>
    </w:pPr>
    <w:rPr>
      <w:b/>
      <w:bCs/>
      <w:kern w:val="0"/>
      <w:sz w:val="24"/>
    </w:rPr>
  </w:style>
  <w:style w:type="paragraph" w:styleId="10">
    <w:name w:val="heading 8"/>
    <w:basedOn w:val="1"/>
    <w:next w:val="1"/>
    <w:link w:val="138"/>
    <w:autoRedefine/>
    <w:qFormat/>
    <w:uiPriority w:val="0"/>
    <w:pPr>
      <w:keepNext/>
      <w:keepLines/>
      <w:widowControl/>
      <w:spacing w:before="240" w:after="64" w:line="320" w:lineRule="auto"/>
      <w:jc w:val="left"/>
      <w:outlineLvl w:val="7"/>
    </w:pPr>
    <w:rPr>
      <w:rFonts w:ascii="Arial" w:hAnsi="Arial" w:eastAsia="黑体"/>
      <w:kern w:val="0"/>
      <w:sz w:val="24"/>
    </w:rPr>
  </w:style>
  <w:style w:type="paragraph" w:styleId="11">
    <w:name w:val="heading 9"/>
    <w:basedOn w:val="1"/>
    <w:next w:val="1"/>
    <w:link w:val="139"/>
    <w:autoRedefine/>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44">
    <w:name w:val="Default Paragraph Font"/>
    <w:autoRedefine/>
    <w:unhideWhenUsed/>
    <w:qFormat/>
    <w:uiPriority w:val="1"/>
  </w:style>
  <w:style w:type="table" w:default="1" w:styleId="42">
    <w:name w:val="Normal Table"/>
    <w:autoRedefine/>
    <w:unhideWhenUsed/>
    <w:qFormat/>
    <w:uiPriority w:val="99"/>
    <w:tblPr>
      <w:tblCellMar>
        <w:top w:w="0" w:type="dxa"/>
        <w:left w:w="108" w:type="dxa"/>
        <w:bottom w:w="0" w:type="dxa"/>
        <w:right w:w="108" w:type="dxa"/>
      </w:tblCellMar>
    </w:tblPr>
  </w:style>
  <w:style w:type="paragraph" w:styleId="2">
    <w:name w:val="Normal Indent"/>
    <w:basedOn w:val="1"/>
    <w:link w:val="92"/>
    <w:autoRedefine/>
    <w:qFormat/>
    <w:uiPriority w:val="0"/>
    <w:pPr>
      <w:ind w:firstLine="420"/>
    </w:pPr>
  </w:style>
  <w:style w:type="paragraph" w:styleId="12">
    <w:name w:val="toc 7"/>
    <w:basedOn w:val="1"/>
    <w:next w:val="1"/>
    <w:autoRedefine/>
    <w:unhideWhenUsed/>
    <w:qFormat/>
    <w:uiPriority w:val="0"/>
    <w:pPr>
      <w:ind w:left="1260"/>
      <w:jc w:val="left"/>
    </w:pPr>
    <w:rPr>
      <w:rFonts w:ascii="Calibri" w:hAnsi="Calibri"/>
      <w:sz w:val="18"/>
      <w:szCs w:val="18"/>
    </w:rPr>
  </w:style>
  <w:style w:type="paragraph" w:styleId="13">
    <w:name w:val="caption"/>
    <w:basedOn w:val="1"/>
    <w:next w:val="1"/>
    <w:autoRedefine/>
    <w:qFormat/>
    <w:uiPriority w:val="0"/>
    <w:rPr>
      <w:rFonts w:ascii="Arial" w:hAnsi="Arial" w:eastAsia="黑体" w:cs="Arial"/>
      <w:sz w:val="20"/>
      <w:szCs w:val="20"/>
    </w:rPr>
  </w:style>
  <w:style w:type="paragraph" w:styleId="14">
    <w:name w:val="Document Map"/>
    <w:basedOn w:val="1"/>
    <w:link w:val="140"/>
    <w:autoRedefine/>
    <w:qFormat/>
    <w:uiPriority w:val="0"/>
    <w:pPr>
      <w:shd w:val="clear" w:color="auto" w:fill="000080"/>
    </w:pPr>
    <w:rPr>
      <w:szCs w:val="20"/>
    </w:rPr>
  </w:style>
  <w:style w:type="paragraph" w:styleId="15">
    <w:name w:val="annotation text"/>
    <w:basedOn w:val="1"/>
    <w:link w:val="99"/>
    <w:qFormat/>
    <w:uiPriority w:val="0"/>
    <w:pPr>
      <w:jc w:val="left"/>
    </w:pPr>
    <w:rPr>
      <w:rFonts w:ascii="Calibri" w:hAnsi="Calibri"/>
      <w:kern w:val="0"/>
      <w:sz w:val="20"/>
    </w:rPr>
  </w:style>
  <w:style w:type="paragraph" w:styleId="16">
    <w:name w:val="Body Text 3"/>
    <w:basedOn w:val="1"/>
    <w:link w:val="132"/>
    <w:autoRedefine/>
    <w:qFormat/>
    <w:uiPriority w:val="0"/>
    <w:pPr>
      <w:spacing w:after="120"/>
    </w:pPr>
    <w:rPr>
      <w:sz w:val="16"/>
      <w:szCs w:val="16"/>
    </w:rPr>
  </w:style>
  <w:style w:type="paragraph" w:styleId="17">
    <w:name w:val="Body Text"/>
    <w:basedOn w:val="1"/>
    <w:link w:val="115"/>
    <w:autoRedefine/>
    <w:unhideWhenUsed/>
    <w:qFormat/>
    <w:uiPriority w:val="0"/>
    <w:pPr>
      <w:spacing w:after="120"/>
    </w:pPr>
  </w:style>
  <w:style w:type="paragraph" w:styleId="18">
    <w:name w:val="Body Text Indent"/>
    <w:basedOn w:val="1"/>
    <w:link w:val="134"/>
    <w:autoRedefine/>
    <w:qFormat/>
    <w:uiPriority w:val="0"/>
    <w:pPr>
      <w:ind w:firstLine="830" w:firstLineChars="352"/>
    </w:pPr>
    <w:rPr>
      <w:rFonts w:ascii="仿宋_GB2312" w:eastAsia="仿宋_GB2312"/>
      <w:sz w:val="32"/>
      <w:szCs w:val="20"/>
    </w:rPr>
  </w:style>
  <w:style w:type="paragraph" w:styleId="19">
    <w:name w:val="Block Text"/>
    <w:basedOn w:val="1"/>
    <w:autoRedefine/>
    <w:qFormat/>
    <w:uiPriority w:val="0"/>
    <w:pPr>
      <w:spacing w:line="360" w:lineRule="auto"/>
      <w:ind w:left="-85" w:right="-244" w:firstLine="435"/>
    </w:pPr>
  </w:style>
  <w:style w:type="paragraph" w:styleId="20">
    <w:name w:val="toc 5"/>
    <w:basedOn w:val="1"/>
    <w:next w:val="1"/>
    <w:autoRedefine/>
    <w:unhideWhenUsed/>
    <w:qFormat/>
    <w:uiPriority w:val="0"/>
    <w:pPr>
      <w:ind w:left="840"/>
      <w:jc w:val="left"/>
    </w:pPr>
    <w:rPr>
      <w:rFonts w:ascii="Calibri" w:hAnsi="Calibri"/>
      <w:sz w:val="18"/>
      <w:szCs w:val="18"/>
    </w:rPr>
  </w:style>
  <w:style w:type="paragraph" w:styleId="21">
    <w:name w:val="toc 3"/>
    <w:basedOn w:val="1"/>
    <w:next w:val="1"/>
    <w:autoRedefine/>
    <w:qFormat/>
    <w:uiPriority w:val="39"/>
    <w:pPr>
      <w:ind w:left="420"/>
      <w:jc w:val="left"/>
    </w:pPr>
    <w:rPr>
      <w:rFonts w:ascii="Calibri" w:hAnsi="Calibri" w:cs="Calibri"/>
      <w:i/>
      <w:iCs/>
      <w:sz w:val="20"/>
      <w:szCs w:val="20"/>
    </w:rPr>
  </w:style>
  <w:style w:type="paragraph" w:styleId="22">
    <w:name w:val="Plain Text"/>
    <w:basedOn w:val="1"/>
    <w:link w:val="95"/>
    <w:autoRedefine/>
    <w:qFormat/>
    <w:uiPriority w:val="0"/>
    <w:rPr>
      <w:rFonts w:ascii="宋体" w:hAnsi="Courier New"/>
      <w:kern w:val="0"/>
      <w:sz w:val="20"/>
      <w:szCs w:val="21"/>
    </w:rPr>
  </w:style>
  <w:style w:type="paragraph" w:styleId="23">
    <w:name w:val="toc 8"/>
    <w:basedOn w:val="1"/>
    <w:next w:val="1"/>
    <w:autoRedefine/>
    <w:qFormat/>
    <w:uiPriority w:val="0"/>
    <w:pPr>
      <w:ind w:left="1470"/>
      <w:jc w:val="left"/>
    </w:pPr>
    <w:rPr>
      <w:rFonts w:ascii="Calibri" w:hAnsi="Calibri"/>
      <w:sz w:val="18"/>
      <w:szCs w:val="18"/>
    </w:rPr>
  </w:style>
  <w:style w:type="paragraph" w:styleId="24">
    <w:name w:val="Date"/>
    <w:basedOn w:val="1"/>
    <w:next w:val="1"/>
    <w:link w:val="131"/>
    <w:unhideWhenUsed/>
    <w:qFormat/>
    <w:uiPriority w:val="0"/>
    <w:pPr>
      <w:ind w:left="100" w:leftChars="2500"/>
    </w:pPr>
    <w:rPr>
      <w:rFonts w:ascii="Calibri" w:hAnsi="Calibri"/>
    </w:rPr>
  </w:style>
  <w:style w:type="paragraph" w:styleId="25">
    <w:name w:val="Body Text Indent 2"/>
    <w:basedOn w:val="1"/>
    <w:link w:val="133"/>
    <w:qFormat/>
    <w:uiPriority w:val="0"/>
    <w:pPr>
      <w:spacing w:after="120" w:line="480" w:lineRule="auto"/>
      <w:ind w:left="420" w:leftChars="200"/>
    </w:pPr>
  </w:style>
  <w:style w:type="paragraph" w:styleId="26">
    <w:name w:val="Balloon Text"/>
    <w:basedOn w:val="1"/>
    <w:link w:val="96"/>
    <w:autoRedefine/>
    <w:unhideWhenUsed/>
    <w:qFormat/>
    <w:uiPriority w:val="0"/>
    <w:rPr>
      <w:sz w:val="18"/>
      <w:szCs w:val="18"/>
    </w:rPr>
  </w:style>
  <w:style w:type="paragraph" w:styleId="27">
    <w:name w:val="footer"/>
    <w:basedOn w:val="1"/>
    <w:link w:val="97"/>
    <w:autoRedefine/>
    <w:unhideWhenUsed/>
    <w:qFormat/>
    <w:uiPriority w:val="0"/>
    <w:pPr>
      <w:tabs>
        <w:tab w:val="center" w:pos="4153"/>
        <w:tab w:val="right" w:pos="8306"/>
      </w:tabs>
      <w:snapToGrid w:val="0"/>
      <w:jc w:val="left"/>
    </w:pPr>
    <w:rPr>
      <w:sz w:val="18"/>
      <w:szCs w:val="18"/>
    </w:rPr>
  </w:style>
  <w:style w:type="paragraph" w:styleId="28">
    <w:name w:val="header"/>
    <w:basedOn w:val="1"/>
    <w:link w:val="9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spacing w:before="120" w:after="120"/>
      <w:jc w:val="left"/>
    </w:pPr>
    <w:rPr>
      <w:rFonts w:ascii="Calibri" w:hAnsi="Calibri" w:cs="Calibri"/>
      <w:b/>
      <w:bCs/>
      <w:caps/>
      <w:szCs w:val="20"/>
    </w:rPr>
  </w:style>
  <w:style w:type="paragraph" w:styleId="30">
    <w:name w:val="toc 4"/>
    <w:basedOn w:val="1"/>
    <w:next w:val="1"/>
    <w:autoRedefine/>
    <w:unhideWhenUsed/>
    <w:qFormat/>
    <w:uiPriority w:val="0"/>
    <w:pPr>
      <w:ind w:left="630"/>
      <w:jc w:val="left"/>
    </w:pPr>
    <w:rPr>
      <w:rFonts w:ascii="Calibri" w:hAnsi="Calibri"/>
      <w:sz w:val="18"/>
      <w:szCs w:val="18"/>
    </w:rPr>
  </w:style>
  <w:style w:type="paragraph" w:styleId="31">
    <w:name w:val="index heading"/>
    <w:basedOn w:val="1"/>
    <w:next w:val="32"/>
    <w:semiHidden/>
    <w:qFormat/>
    <w:uiPriority w:val="0"/>
    <w:rPr>
      <w:szCs w:val="20"/>
    </w:rPr>
  </w:style>
  <w:style w:type="paragraph" w:styleId="32">
    <w:name w:val="index 1"/>
    <w:basedOn w:val="1"/>
    <w:next w:val="1"/>
    <w:autoRedefine/>
    <w:unhideWhenUsed/>
    <w:qFormat/>
    <w:uiPriority w:val="0"/>
  </w:style>
  <w:style w:type="paragraph" w:styleId="33">
    <w:name w:val="toc 6"/>
    <w:basedOn w:val="1"/>
    <w:next w:val="1"/>
    <w:autoRedefine/>
    <w:unhideWhenUsed/>
    <w:qFormat/>
    <w:uiPriority w:val="0"/>
    <w:pPr>
      <w:ind w:left="1050"/>
      <w:jc w:val="left"/>
    </w:pPr>
    <w:rPr>
      <w:rFonts w:ascii="Calibri" w:hAnsi="Calibri"/>
      <w:sz w:val="18"/>
      <w:szCs w:val="18"/>
    </w:rPr>
  </w:style>
  <w:style w:type="paragraph" w:styleId="34">
    <w:name w:val="Body Text Indent 3"/>
    <w:basedOn w:val="1"/>
    <w:link w:val="130"/>
    <w:autoRedefine/>
    <w:qFormat/>
    <w:uiPriority w:val="0"/>
    <w:pPr>
      <w:spacing w:line="360" w:lineRule="auto"/>
      <w:ind w:firstLine="420" w:firstLineChars="200"/>
    </w:pPr>
    <w:rPr>
      <w:szCs w:val="20"/>
    </w:rPr>
  </w:style>
  <w:style w:type="paragraph" w:styleId="35">
    <w:name w:val="toc 2"/>
    <w:basedOn w:val="1"/>
    <w:next w:val="1"/>
    <w:qFormat/>
    <w:uiPriority w:val="39"/>
    <w:pPr>
      <w:tabs>
        <w:tab w:val="right" w:leader="dot" w:pos="8302"/>
      </w:tabs>
      <w:jc w:val="left"/>
    </w:pPr>
    <w:rPr>
      <w:rFonts w:ascii="仿宋_GB2312" w:hAnsi="仿宋" w:eastAsia="仿宋_GB2312"/>
      <w:b/>
      <w:smallCaps/>
      <w:kern w:val="0"/>
      <w:szCs w:val="21"/>
    </w:rPr>
  </w:style>
  <w:style w:type="paragraph" w:styleId="36">
    <w:name w:val="toc 9"/>
    <w:basedOn w:val="1"/>
    <w:next w:val="1"/>
    <w:autoRedefine/>
    <w:unhideWhenUsed/>
    <w:qFormat/>
    <w:uiPriority w:val="0"/>
    <w:pPr>
      <w:ind w:left="1680"/>
      <w:jc w:val="left"/>
    </w:pPr>
    <w:rPr>
      <w:rFonts w:ascii="Calibri" w:hAnsi="Calibri"/>
      <w:sz w:val="18"/>
      <w:szCs w:val="18"/>
    </w:rPr>
  </w:style>
  <w:style w:type="paragraph" w:styleId="37">
    <w:name w:val="HTML Preformatted"/>
    <w:basedOn w:val="1"/>
    <w:link w:val="127"/>
    <w:autoRedefine/>
    <w:qFormat/>
    <w:uiPriority w:val="0"/>
    <w:rPr>
      <w:rFonts w:ascii="Courier New" w:hAnsi="Courier New" w:cs="Courier New"/>
      <w:sz w:val="20"/>
      <w:szCs w:val="20"/>
    </w:rPr>
  </w:style>
  <w:style w:type="paragraph" w:styleId="38">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39">
    <w:name w:val="Title"/>
    <w:basedOn w:val="1"/>
    <w:link w:val="135"/>
    <w:autoRedefine/>
    <w:qFormat/>
    <w:uiPriority w:val="0"/>
    <w:pPr>
      <w:spacing w:before="240" w:after="60"/>
      <w:jc w:val="center"/>
      <w:outlineLvl w:val="0"/>
    </w:pPr>
    <w:rPr>
      <w:rFonts w:ascii="Arial" w:hAnsi="Arial" w:cs="Arial"/>
      <w:b/>
      <w:bCs/>
      <w:sz w:val="32"/>
      <w:szCs w:val="32"/>
    </w:rPr>
  </w:style>
  <w:style w:type="paragraph" w:styleId="40">
    <w:name w:val="annotation subject"/>
    <w:basedOn w:val="15"/>
    <w:next w:val="15"/>
    <w:link w:val="129"/>
    <w:autoRedefine/>
    <w:qFormat/>
    <w:uiPriority w:val="0"/>
    <w:rPr>
      <w:rFonts w:ascii="Times New Roman" w:hAnsi="Times New Roman"/>
      <w:b/>
      <w:bCs/>
      <w:kern w:val="2"/>
      <w:sz w:val="21"/>
    </w:rPr>
  </w:style>
  <w:style w:type="paragraph" w:styleId="41">
    <w:name w:val="Body Text First Indent"/>
    <w:basedOn w:val="17"/>
    <w:link w:val="128"/>
    <w:autoRedefine/>
    <w:qFormat/>
    <w:uiPriority w:val="0"/>
    <w:pPr>
      <w:ind w:firstLine="420" w:firstLineChars="100"/>
    </w:p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autoRedefine/>
    <w:qFormat/>
    <w:uiPriority w:val="22"/>
    <w:rPr>
      <w:rFonts w:ascii="Tahoma" w:hAnsi="Tahoma" w:eastAsia="宋体"/>
      <w:b/>
      <w:bCs/>
      <w:spacing w:val="10"/>
      <w:kern w:val="2"/>
      <w:sz w:val="24"/>
      <w:szCs w:val="24"/>
      <w:lang w:val="en-US" w:eastAsia="zh-CN" w:bidi="ar-SA"/>
    </w:rPr>
  </w:style>
  <w:style w:type="character" w:styleId="46">
    <w:name w:val="page number"/>
    <w:qFormat/>
    <w:uiPriority w:val="0"/>
    <w:rPr>
      <w:rFonts w:eastAsia="宋体"/>
      <w:kern w:val="2"/>
      <w:sz w:val="24"/>
      <w:szCs w:val="24"/>
      <w:lang w:val="en-US" w:eastAsia="zh-CN" w:bidi="ar-SA"/>
    </w:rPr>
  </w:style>
  <w:style w:type="character" w:styleId="47">
    <w:name w:val="FollowedHyperlink"/>
    <w:basedOn w:val="44"/>
    <w:autoRedefine/>
    <w:unhideWhenUsed/>
    <w:qFormat/>
    <w:uiPriority w:val="99"/>
    <w:rPr>
      <w:color w:val="800080"/>
      <w:u w:val="single"/>
    </w:rPr>
  </w:style>
  <w:style w:type="character" w:styleId="48">
    <w:name w:val="Emphasis"/>
    <w:autoRedefine/>
    <w:qFormat/>
    <w:uiPriority w:val="20"/>
    <w:rPr>
      <w:color w:val="CC0000"/>
    </w:rPr>
  </w:style>
  <w:style w:type="character" w:styleId="49">
    <w:name w:val="Hyperlink"/>
    <w:qFormat/>
    <w:uiPriority w:val="99"/>
    <w:rPr>
      <w:rFonts w:eastAsia="宋体"/>
      <w:color w:val="0000FF"/>
      <w:kern w:val="2"/>
      <w:sz w:val="24"/>
      <w:szCs w:val="24"/>
      <w:u w:val="single"/>
      <w:lang w:val="en-US" w:eastAsia="zh-CN" w:bidi="ar-SA"/>
    </w:rPr>
  </w:style>
  <w:style w:type="character" w:styleId="50">
    <w:name w:val="annotation reference"/>
    <w:autoRedefine/>
    <w:qFormat/>
    <w:uiPriority w:val="0"/>
    <w:rPr>
      <w:rFonts w:eastAsia="宋体"/>
      <w:kern w:val="2"/>
      <w:sz w:val="21"/>
      <w:szCs w:val="21"/>
      <w:lang w:val="en-US" w:eastAsia="zh-CN" w:bidi="ar-SA"/>
    </w:rPr>
  </w:style>
  <w:style w:type="paragraph" w:customStyle="1" w:styleId="51">
    <w:name w:val="列出段落1"/>
    <w:basedOn w:val="1"/>
    <w:autoRedefine/>
    <w:qFormat/>
    <w:uiPriority w:val="34"/>
    <w:pPr>
      <w:ind w:firstLine="420" w:firstLineChars="200"/>
    </w:pPr>
  </w:style>
  <w:style w:type="paragraph" w:customStyle="1" w:styleId="52">
    <w:name w:val="列出段落2"/>
    <w:basedOn w:val="1"/>
    <w:link w:val="105"/>
    <w:autoRedefine/>
    <w:qFormat/>
    <w:uiPriority w:val="34"/>
    <w:pPr>
      <w:ind w:firstLine="420" w:firstLineChars="200"/>
      <w:jc w:val="center"/>
    </w:pPr>
    <w:rPr>
      <w:rFonts w:ascii="Calibri" w:hAnsi="Calibri"/>
      <w:szCs w:val="22"/>
    </w:rPr>
  </w:style>
  <w:style w:type="paragraph" w:customStyle="1" w:styleId="53">
    <w:name w:val="Body text|2"/>
    <w:basedOn w:val="1"/>
    <w:link w:val="111"/>
    <w:autoRedefine/>
    <w:qFormat/>
    <w:uiPriority w:val="0"/>
    <w:pPr>
      <w:shd w:val="clear" w:color="auto" w:fill="FFFFFF"/>
      <w:spacing w:line="312" w:lineRule="exact"/>
    </w:pPr>
    <w:rPr>
      <w:rFonts w:ascii="PMingLiU" w:hAnsi="PMingLiU" w:eastAsia="PMingLiU" w:cs="PMingLiU"/>
      <w:sz w:val="20"/>
      <w:szCs w:val="20"/>
    </w:rPr>
  </w:style>
  <w:style w:type="paragraph" w:customStyle="1" w:styleId="54">
    <w:name w:val="Header or footer|11"/>
    <w:basedOn w:val="1"/>
    <w:link w:val="112"/>
    <w:autoRedefine/>
    <w:qFormat/>
    <w:uiPriority w:val="0"/>
    <w:pPr>
      <w:shd w:val="clear" w:color="auto" w:fill="FFFFFF"/>
      <w:spacing w:line="300" w:lineRule="exact"/>
    </w:pPr>
    <w:rPr>
      <w:rFonts w:ascii="PMingLiU" w:hAnsi="PMingLiU" w:eastAsia="PMingLiU" w:cs="PMingLiU"/>
      <w:sz w:val="30"/>
      <w:szCs w:val="30"/>
      <w:lang w:eastAsia="en-US" w:bidi="en-US"/>
    </w:rPr>
  </w:style>
  <w:style w:type="paragraph" w:customStyle="1" w:styleId="55">
    <w:name w:val="Heading #1|1"/>
    <w:basedOn w:val="1"/>
    <w:link w:val="117"/>
    <w:qFormat/>
    <w:uiPriority w:val="0"/>
    <w:pPr>
      <w:shd w:val="clear" w:color="auto" w:fill="FFFFFF"/>
      <w:spacing w:after="140" w:line="300" w:lineRule="exact"/>
      <w:jc w:val="center"/>
      <w:outlineLvl w:val="0"/>
    </w:pPr>
    <w:rPr>
      <w:rFonts w:ascii="PMingLiU" w:hAnsi="PMingLiU" w:eastAsia="PMingLiU" w:cs="PMingLiU"/>
      <w:sz w:val="30"/>
      <w:szCs w:val="30"/>
      <w:lang w:eastAsia="en-US" w:bidi="en-US"/>
    </w:rPr>
  </w:style>
  <w:style w:type="paragraph" w:customStyle="1" w:styleId="56">
    <w:name w:val="列题"/>
    <w:basedOn w:val="1"/>
    <w:link w:val="121"/>
    <w:qFormat/>
    <w:uiPriority w:val="0"/>
    <w:pPr>
      <w:numPr>
        <w:ilvl w:val="0"/>
        <w:numId w:val="1"/>
      </w:numPr>
      <w:spacing w:line="360" w:lineRule="auto"/>
    </w:pPr>
    <w:rPr>
      <w:rFonts w:ascii="Calibri" w:hAnsi="Calibri" w:eastAsia="仿宋"/>
      <w:b/>
      <w:sz w:val="28"/>
      <w:szCs w:val="22"/>
    </w:rPr>
  </w:style>
  <w:style w:type="paragraph" w:customStyle="1" w:styleId="57">
    <w:name w:val="列出段落3"/>
    <w:basedOn w:val="1"/>
    <w:autoRedefine/>
    <w:qFormat/>
    <w:uiPriority w:val="34"/>
    <w:pPr>
      <w:ind w:firstLine="420" w:firstLineChars="200"/>
    </w:pPr>
    <w:rPr>
      <w:rFonts w:ascii="Calibri" w:hAnsi="Calibri"/>
      <w:szCs w:val="22"/>
    </w:rPr>
  </w:style>
  <w:style w:type="paragraph" w:customStyle="1" w:styleId="58">
    <w:name w:val="Heading #2|1"/>
    <w:basedOn w:val="1"/>
    <w:autoRedefine/>
    <w:qFormat/>
    <w:uiPriority w:val="0"/>
    <w:pPr>
      <w:shd w:val="clear" w:color="auto" w:fill="FFFFFF"/>
      <w:spacing w:line="240" w:lineRule="exact"/>
      <w:jc w:val="distribute"/>
      <w:outlineLvl w:val="1"/>
    </w:pPr>
    <w:rPr>
      <w:rFonts w:ascii="PMingLiU" w:hAnsi="PMingLiU" w:eastAsia="PMingLiU" w:cs="PMingLiU"/>
      <w:szCs w:val="22"/>
    </w:rPr>
  </w:style>
  <w:style w:type="paragraph" w:customStyle="1" w:styleId="59">
    <w:name w:val="Char Char2 Char Char Char"/>
    <w:basedOn w:val="1"/>
    <w:qFormat/>
    <w:uiPriority w:val="0"/>
    <w:pPr>
      <w:numPr>
        <w:ilvl w:val="0"/>
        <w:numId w:val="2"/>
      </w:numPr>
      <w:tabs>
        <w:tab w:val="left" w:pos="780"/>
      </w:tabs>
    </w:pPr>
    <w:rPr>
      <w:sz w:val="24"/>
    </w:rPr>
  </w:style>
  <w:style w:type="paragraph" w:customStyle="1" w:styleId="60">
    <w:name w:val="Char Char2 Char Char Char Char Char"/>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表格文字"/>
    <w:basedOn w:val="1"/>
    <w:qFormat/>
    <w:uiPriority w:val="0"/>
    <w:pPr>
      <w:spacing w:before="25" w:after="25"/>
      <w:jc w:val="left"/>
    </w:pPr>
    <w:rPr>
      <w:bCs/>
      <w:spacing w:val="10"/>
      <w:kern w:val="0"/>
      <w:sz w:val="24"/>
      <w:szCs w:val="20"/>
    </w:rPr>
  </w:style>
  <w:style w:type="paragraph" w:customStyle="1" w:styleId="62">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3">
    <w:name w:val="题注4"/>
    <w:basedOn w:val="1"/>
    <w:next w:val="13"/>
    <w:autoRedefine/>
    <w:qFormat/>
    <w:uiPriority w:val="0"/>
    <w:pPr>
      <w:ind w:left="-132" w:leftChars="-64" w:right="-105" w:rightChars="-50" w:hanging="2"/>
      <w:jc w:val="center"/>
    </w:pPr>
    <w:rPr>
      <w:b/>
      <w:color w:val="FF0000"/>
      <w:szCs w:val="21"/>
    </w:rPr>
  </w:style>
  <w:style w:type="paragraph" w:customStyle="1" w:styleId="64">
    <w:name w:val="封面3"/>
    <w:basedOn w:val="1"/>
    <w:autoRedefine/>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65">
    <w:name w:val="Default"/>
    <w:qFormat/>
    <w:uiPriority w:val="0"/>
    <w:pPr>
      <w:autoSpaceDE w:val="0"/>
      <w:autoSpaceDN w:val="0"/>
      <w:adjustRightInd w:val="0"/>
    </w:pPr>
    <w:rPr>
      <w:rFonts w:ascii="宋体" w:hAnsi="Calibri" w:eastAsia="宋体" w:cs="宋体"/>
      <w:color w:val="000000"/>
      <w:sz w:val="24"/>
      <w:szCs w:val="24"/>
      <w:lang w:val="en-US" w:eastAsia="zh-CN" w:bidi="ar-SA"/>
    </w:rPr>
  </w:style>
  <w:style w:type="paragraph" w:customStyle="1" w:styleId="66">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67">
    <w:name w:val="List Paragraph1"/>
    <w:basedOn w:val="1"/>
    <w:autoRedefine/>
    <w:qFormat/>
    <w:uiPriority w:val="0"/>
    <w:pPr>
      <w:ind w:firstLine="420" w:firstLineChars="200"/>
    </w:pPr>
    <w:rPr>
      <w:rFonts w:ascii="Calibri" w:hAnsi="Calibri"/>
      <w:szCs w:val="22"/>
    </w:rPr>
  </w:style>
  <w:style w:type="paragraph" w:customStyle="1" w:styleId="68">
    <w:name w:val="办公自动化专用标题"/>
    <w:basedOn w:val="39"/>
    <w:qFormat/>
    <w:uiPriority w:val="0"/>
    <w:pPr>
      <w:spacing w:line="560" w:lineRule="atLeast"/>
    </w:pPr>
    <w:rPr>
      <w:rFonts w:ascii="宋体"/>
      <w:bCs w:val="0"/>
      <w:sz w:val="44"/>
      <w:szCs w:val="20"/>
    </w:rPr>
  </w:style>
  <w:style w:type="paragraph" w:customStyle="1" w:styleId="69">
    <w:name w:val="p0"/>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70">
    <w:name w:val="Char Char Char Char"/>
    <w:basedOn w:val="1"/>
    <w:autoRedefine/>
    <w:qFormat/>
    <w:uiPriority w:val="0"/>
    <w:pPr>
      <w:tabs>
        <w:tab w:val="left" w:pos="780"/>
      </w:tabs>
      <w:ind w:left="780" w:hanging="360"/>
    </w:pPr>
    <w:rPr>
      <w:sz w:val="24"/>
    </w:rPr>
  </w:style>
  <w:style w:type="paragraph" w:customStyle="1" w:styleId="71">
    <w:name w:val="题注5"/>
    <w:basedOn w:val="1"/>
    <w:next w:val="13"/>
    <w:autoRedefine/>
    <w:qFormat/>
    <w:uiPriority w:val="0"/>
    <w:pPr>
      <w:jc w:val="center"/>
    </w:pPr>
    <w:rPr>
      <w:b/>
      <w:color w:val="000000"/>
      <w:sz w:val="24"/>
      <w:szCs w:val="21"/>
    </w:rPr>
  </w:style>
  <w:style w:type="paragraph" w:customStyle="1" w:styleId="72">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73">
    <w:name w:val="默认段落字体 Para Char"/>
    <w:basedOn w:val="1"/>
    <w:autoRedefine/>
    <w:qFormat/>
    <w:uiPriority w:val="0"/>
    <w:rPr>
      <w:rFonts w:ascii="宋体" w:hAnsi="宋体"/>
      <w:b/>
      <w:sz w:val="28"/>
      <w:szCs w:val="28"/>
    </w:rPr>
  </w:style>
  <w:style w:type="paragraph" w:customStyle="1" w:styleId="74">
    <w:name w:val="Char Char1 Char Char Char Char Char Char Char Char Char Char Char Char Char Char Char Char Char Char1 Char"/>
    <w:basedOn w:val="1"/>
    <w:autoRedefine/>
    <w:qFormat/>
    <w:uiPriority w:val="0"/>
    <w:rPr>
      <w:rFonts w:ascii="Tahoma" w:hAnsi="Tahoma"/>
      <w:sz w:val="24"/>
    </w:rPr>
  </w:style>
  <w:style w:type="paragraph" w:customStyle="1" w:styleId="75">
    <w:name w:val="Zchn Zchn"/>
    <w:basedOn w:val="1"/>
    <w:autoRedefine/>
    <w:qFormat/>
    <w:uiPriority w:val="0"/>
    <w:rPr>
      <w:rFonts w:ascii="Tahoma" w:hAnsi="Tahoma"/>
      <w:sz w:val="24"/>
      <w:szCs w:val="20"/>
    </w:rPr>
  </w:style>
  <w:style w:type="paragraph" w:customStyle="1" w:styleId="76">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77">
    <w:name w:val="Char Char Char"/>
    <w:basedOn w:val="1"/>
    <w:autoRedefine/>
    <w:qFormat/>
    <w:uiPriority w:val="0"/>
    <w:rPr>
      <w:rFonts w:ascii="Tahoma" w:hAnsi="Tahoma"/>
      <w:sz w:val="24"/>
      <w:szCs w:val="20"/>
    </w:rPr>
  </w:style>
  <w:style w:type="paragraph" w:customStyle="1" w:styleId="78">
    <w:name w:val="Char Char2 Char"/>
    <w:basedOn w:val="1"/>
    <w:autoRedefine/>
    <w:qFormat/>
    <w:uiPriority w:val="0"/>
    <w:rPr>
      <w:rFonts w:ascii="宋体" w:hAnsi="宋体"/>
      <w:b/>
      <w:sz w:val="28"/>
      <w:szCs w:val="28"/>
    </w:rPr>
  </w:style>
  <w:style w:type="paragraph" w:customStyle="1" w:styleId="79">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0">
    <w:name w:val="Char Char1"/>
    <w:basedOn w:val="1"/>
    <w:qFormat/>
    <w:uiPriority w:val="0"/>
    <w:rPr>
      <w:rFonts w:ascii="宋体" w:hAnsi="宋体"/>
      <w:b/>
      <w:sz w:val="28"/>
      <w:szCs w:val="28"/>
    </w:rPr>
  </w:style>
  <w:style w:type="paragraph" w:customStyle="1" w:styleId="81">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3">
    <w:name w:val="Char3"/>
    <w:basedOn w:val="1"/>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无间隔1"/>
    <w:qFormat/>
    <w:uiPriority w:val="0"/>
    <w:rPr>
      <w:rFonts w:ascii="Calibri" w:hAnsi="Calibri" w:eastAsia="宋体" w:cs="Calibri"/>
      <w:sz w:val="22"/>
      <w:szCs w:val="22"/>
      <w:lang w:val="en-US" w:eastAsia="en-US" w:bidi="ar-SA"/>
    </w:rPr>
  </w:style>
  <w:style w:type="paragraph" w:customStyle="1" w:styleId="85">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86">
    <w:name w:val="Char5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7">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8">
    <w:name w:val="标题 1 Char"/>
    <w:basedOn w:val="44"/>
    <w:link w:val="3"/>
    <w:qFormat/>
    <w:uiPriority w:val="0"/>
    <w:rPr>
      <w:b/>
      <w:bCs/>
      <w:kern w:val="44"/>
      <w:sz w:val="44"/>
      <w:szCs w:val="44"/>
    </w:rPr>
  </w:style>
  <w:style w:type="character" w:customStyle="1" w:styleId="89">
    <w:name w:val="标题 2 Char"/>
    <w:basedOn w:val="44"/>
    <w:link w:val="4"/>
    <w:qFormat/>
    <w:uiPriority w:val="0"/>
    <w:rPr>
      <w:rFonts w:ascii="Arial" w:hAnsi="Arial" w:eastAsia="黑体"/>
      <w:b/>
      <w:bCs/>
      <w:kern w:val="2"/>
      <w:sz w:val="32"/>
      <w:szCs w:val="32"/>
    </w:rPr>
  </w:style>
  <w:style w:type="character" w:customStyle="1" w:styleId="90">
    <w:name w:val="标题 3 Char"/>
    <w:basedOn w:val="44"/>
    <w:link w:val="5"/>
    <w:autoRedefine/>
    <w:qFormat/>
    <w:uiPriority w:val="0"/>
    <w:rPr>
      <w:b/>
      <w:bCs/>
      <w:kern w:val="2"/>
      <w:sz w:val="32"/>
      <w:szCs w:val="32"/>
    </w:rPr>
  </w:style>
  <w:style w:type="character" w:customStyle="1" w:styleId="91">
    <w:name w:val="标题 4 Char"/>
    <w:basedOn w:val="44"/>
    <w:link w:val="6"/>
    <w:autoRedefine/>
    <w:qFormat/>
    <w:uiPriority w:val="0"/>
    <w:rPr>
      <w:rFonts w:ascii="Arial" w:hAnsi="Arial" w:eastAsia="黑体"/>
      <w:b/>
      <w:bCs/>
      <w:kern w:val="2"/>
      <w:sz w:val="28"/>
      <w:szCs w:val="28"/>
    </w:rPr>
  </w:style>
  <w:style w:type="character" w:customStyle="1" w:styleId="92">
    <w:name w:val="正文缩进 Char"/>
    <w:link w:val="2"/>
    <w:qFormat/>
    <w:uiPriority w:val="0"/>
    <w:rPr>
      <w:kern w:val="2"/>
      <w:sz w:val="21"/>
      <w:szCs w:val="24"/>
    </w:rPr>
  </w:style>
  <w:style w:type="character" w:customStyle="1" w:styleId="93">
    <w:name w:val="标题 6 Char"/>
    <w:basedOn w:val="44"/>
    <w:link w:val="8"/>
    <w:qFormat/>
    <w:uiPriority w:val="0"/>
    <w:rPr>
      <w:rFonts w:ascii="Arial" w:hAnsi="Arial" w:eastAsia="黑体"/>
      <w:b/>
      <w:bCs/>
      <w:kern w:val="2"/>
      <w:sz w:val="24"/>
      <w:szCs w:val="24"/>
    </w:rPr>
  </w:style>
  <w:style w:type="character" w:customStyle="1" w:styleId="94">
    <w:name w:val="批注文字 Char1"/>
    <w:link w:val="15"/>
    <w:autoRedefine/>
    <w:qFormat/>
    <w:uiPriority w:val="99"/>
    <w:rPr>
      <w:rFonts w:ascii="Calibri" w:hAnsi="Calibri" w:eastAsia="宋体" w:cs="Times New Roman"/>
      <w:kern w:val="0"/>
      <w:sz w:val="20"/>
      <w:szCs w:val="24"/>
    </w:rPr>
  </w:style>
  <w:style w:type="character" w:customStyle="1" w:styleId="95">
    <w:name w:val="纯文本 Char"/>
    <w:basedOn w:val="44"/>
    <w:link w:val="22"/>
    <w:qFormat/>
    <w:uiPriority w:val="0"/>
    <w:rPr>
      <w:rFonts w:ascii="宋体" w:hAnsi="Courier New" w:eastAsia="宋体" w:cs="Times New Roman"/>
      <w:kern w:val="0"/>
      <w:sz w:val="20"/>
      <w:szCs w:val="21"/>
    </w:rPr>
  </w:style>
  <w:style w:type="character" w:customStyle="1" w:styleId="96">
    <w:name w:val="批注框文本 Char"/>
    <w:basedOn w:val="44"/>
    <w:link w:val="26"/>
    <w:qFormat/>
    <w:uiPriority w:val="0"/>
    <w:rPr>
      <w:rFonts w:ascii="Times New Roman" w:hAnsi="Times New Roman" w:eastAsia="宋体" w:cs="Times New Roman"/>
      <w:sz w:val="18"/>
      <w:szCs w:val="18"/>
    </w:rPr>
  </w:style>
  <w:style w:type="character" w:customStyle="1" w:styleId="97">
    <w:name w:val="页脚 Char"/>
    <w:basedOn w:val="44"/>
    <w:link w:val="27"/>
    <w:autoRedefine/>
    <w:qFormat/>
    <w:uiPriority w:val="0"/>
    <w:rPr>
      <w:rFonts w:ascii="Times New Roman" w:hAnsi="Times New Roman" w:eastAsia="宋体" w:cs="Times New Roman"/>
      <w:sz w:val="18"/>
      <w:szCs w:val="18"/>
    </w:rPr>
  </w:style>
  <w:style w:type="character" w:customStyle="1" w:styleId="98">
    <w:name w:val="页眉 Char"/>
    <w:basedOn w:val="44"/>
    <w:link w:val="28"/>
    <w:autoRedefine/>
    <w:qFormat/>
    <w:uiPriority w:val="0"/>
    <w:rPr>
      <w:rFonts w:ascii="Times New Roman" w:hAnsi="Times New Roman" w:eastAsia="宋体" w:cs="Times New Roman"/>
      <w:sz w:val="18"/>
      <w:szCs w:val="18"/>
    </w:rPr>
  </w:style>
  <w:style w:type="character" w:customStyle="1" w:styleId="99">
    <w:name w:val="批注文字 Char"/>
    <w:basedOn w:val="44"/>
    <w:link w:val="15"/>
    <w:autoRedefine/>
    <w:qFormat/>
    <w:uiPriority w:val="0"/>
    <w:rPr>
      <w:rFonts w:ascii="Times New Roman" w:hAnsi="Times New Roman" w:eastAsia="宋体" w:cs="Times New Roman"/>
      <w:szCs w:val="24"/>
    </w:rPr>
  </w:style>
  <w:style w:type="character" w:customStyle="1" w:styleId="100">
    <w:name w:val="正文文本缩进 2 Char"/>
    <w:link w:val="25"/>
    <w:autoRedefine/>
    <w:qFormat/>
    <w:uiPriority w:val="0"/>
    <w:rPr>
      <w:kern w:val="2"/>
      <w:sz w:val="21"/>
      <w:szCs w:val="24"/>
    </w:rPr>
  </w:style>
  <w:style w:type="character" w:customStyle="1" w:styleId="101">
    <w:name w:val="标题 Char"/>
    <w:link w:val="39"/>
    <w:autoRedefine/>
    <w:qFormat/>
    <w:uiPriority w:val="0"/>
    <w:rPr>
      <w:rFonts w:ascii="Arial" w:hAnsi="Arial" w:cs="Arial"/>
      <w:b/>
      <w:bCs/>
      <w:kern w:val="2"/>
      <w:sz w:val="32"/>
      <w:szCs w:val="32"/>
    </w:rPr>
  </w:style>
  <w:style w:type="character" w:customStyle="1" w:styleId="102">
    <w:name w:val="fontorange1"/>
    <w:autoRedefine/>
    <w:qFormat/>
    <w:uiPriority w:val="0"/>
    <w:rPr>
      <w:rFonts w:hint="default" w:ascii="ˎ̥" w:hAnsi="ˎ̥"/>
      <w:color w:val="FF6600"/>
      <w:sz w:val="18"/>
      <w:szCs w:val="18"/>
    </w:rPr>
  </w:style>
  <w:style w:type="character" w:customStyle="1" w:styleId="103">
    <w:name w:val="日期 Char"/>
    <w:link w:val="24"/>
    <w:autoRedefine/>
    <w:qFormat/>
    <w:uiPriority w:val="0"/>
    <w:rPr>
      <w:rFonts w:ascii="Calibri" w:hAnsi="Calibri"/>
      <w:kern w:val="2"/>
      <w:sz w:val="21"/>
      <w:szCs w:val="24"/>
    </w:rPr>
  </w:style>
  <w:style w:type="character" w:customStyle="1" w:styleId="104">
    <w:name w:val="Body text|2 + Spacing 0 pt"/>
    <w:autoRedefine/>
    <w:unhideWhenUsed/>
    <w:qFormat/>
    <w:uiPriority w:val="0"/>
    <w:rPr>
      <w:rFonts w:ascii="PMingLiU" w:hAnsi="PMingLiU" w:eastAsia="PMingLiU" w:cs="PMingLiU"/>
      <w:color w:val="000000"/>
      <w:spacing w:val="10"/>
      <w:w w:val="100"/>
      <w:kern w:val="2"/>
      <w:position w:val="0"/>
      <w:shd w:val="clear" w:color="auto" w:fill="FFFFFF"/>
      <w:lang w:val="en-US" w:eastAsia="en-US" w:bidi="en-US"/>
    </w:rPr>
  </w:style>
  <w:style w:type="character" w:customStyle="1" w:styleId="105">
    <w:name w:val="列出段落 Char"/>
    <w:link w:val="52"/>
    <w:qFormat/>
    <w:uiPriority w:val="0"/>
    <w:rPr>
      <w:rFonts w:ascii="Calibri" w:hAnsi="Calibri"/>
      <w:kern w:val="2"/>
      <w:sz w:val="21"/>
      <w:szCs w:val="22"/>
    </w:rPr>
  </w:style>
  <w:style w:type="character" w:customStyle="1" w:styleId="106">
    <w:name w:val="正文文本缩进 3 Char"/>
    <w:link w:val="34"/>
    <w:autoRedefine/>
    <w:qFormat/>
    <w:uiPriority w:val="0"/>
    <w:rPr>
      <w:kern w:val="2"/>
      <w:sz w:val="21"/>
    </w:rPr>
  </w:style>
  <w:style w:type="character" w:customStyle="1" w:styleId="107">
    <w:name w:val="批注主题 Char"/>
    <w:link w:val="40"/>
    <w:autoRedefine/>
    <w:qFormat/>
    <w:uiPriority w:val="0"/>
    <w:rPr>
      <w:b/>
      <w:bCs/>
      <w:kern w:val="2"/>
      <w:sz w:val="21"/>
      <w:szCs w:val="24"/>
    </w:rPr>
  </w:style>
  <w:style w:type="character" w:customStyle="1" w:styleId="108">
    <w:name w:val="Header or footer|1"/>
    <w:autoRedefine/>
    <w:unhideWhenUsed/>
    <w:qFormat/>
    <w:uiPriority w:val="0"/>
    <w:rPr>
      <w:rFonts w:ascii="PMingLiU" w:hAnsi="PMingLiU" w:eastAsia="PMingLiU" w:cs="PMingLiU"/>
      <w:color w:val="000000"/>
      <w:spacing w:val="0"/>
      <w:w w:val="100"/>
      <w:kern w:val="2"/>
      <w:position w:val="0"/>
      <w:sz w:val="30"/>
      <w:szCs w:val="30"/>
      <w:shd w:val="clear" w:color="auto" w:fill="FFFFFF"/>
      <w:lang w:val="zh-CN" w:eastAsia="zh-CN" w:bidi="zh-CN"/>
    </w:rPr>
  </w:style>
  <w:style w:type="character" w:customStyle="1" w:styleId="109">
    <w:name w:val="Body text|2 + Spacing 1 pt"/>
    <w:autoRedefine/>
    <w:unhideWhenUsed/>
    <w:qFormat/>
    <w:uiPriority w:val="0"/>
    <w:rPr>
      <w:rFonts w:ascii="PMingLiU" w:hAnsi="PMingLiU" w:eastAsia="PMingLiU" w:cs="PMingLiU"/>
      <w:color w:val="000000"/>
      <w:spacing w:val="30"/>
      <w:w w:val="100"/>
      <w:kern w:val="2"/>
      <w:position w:val="0"/>
      <w:shd w:val="clear" w:color="auto" w:fill="FFFFFF"/>
      <w:lang w:val="zh-CN" w:eastAsia="zh-CN" w:bidi="zh-CN"/>
    </w:rPr>
  </w:style>
  <w:style w:type="character" w:customStyle="1" w:styleId="110">
    <w:name w:val="Header or footer|1 + 13 pt"/>
    <w:autoRedefine/>
    <w:unhideWhenUsed/>
    <w:qFormat/>
    <w:uiPriority w:val="0"/>
    <w:rPr>
      <w:rFonts w:ascii="PMingLiU" w:hAnsi="PMingLiU" w:eastAsia="PMingLiU" w:cs="PMingLiU"/>
      <w:color w:val="000000"/>
      <w:spacing w:val="0"/>
      <w:w w:val="100"/>
      <w:kern w:val="2"/>
      <w:position w:val="0"/>
      <w:sz w:val="26"/>
      <w:szCs w:val="26"/>
      <w:shd w:val="clear" w:color="auto" w:fill="FFFFFF"/>
      <w:lang w:eastAsia="en-US" w:bidi="en-US"/>
    </w:rPr>
  </w:style>
  <w:style w:type="character" w:customStyle="1" w:styleId="111">
    <w:name w:val="Body text|2_"/>
    <w:link w:val="53"/>
    <w:autoRedefine/>
    <w:qFormat/>
    <w:uiPriority w:val="0"/>
    <w:rPr>
      <w:rFonts w:ascii="PMingLiU" w:hAnsi="PMingLiU" w:eastAsia="PMingLiU" w:cs="PMingLiU"/>
      <w:kern w:val="2"/>
      <w:shd w:val="clear" w:color="auto" w:fill="FFFFFF"/>
    </w:rPr>
  </w:style>
  <w:style w:type="character" w:customStyle="1" w:styleId="112">
    <w:name w:val="Header or footer|1_"/>
    <w:link w:val="54"/>
    <w:autoRedefine/>
    <w:qFormat/>
    <w:uiPriority w:val="0"/>
    <w:rPr>
      <w:rFonts w:ascii="PMingLiU" w:hAnsi="PMingLiU" w:eastAsia="PMingLiU" w:cs="PMingLiU"/>
      <w:kern w:val="2"/>
      <w:sz w:val="30"/>
      <w:szCs w:val="30"/>
      <w:shd w:val="clear" w:color="auto" w:fill="FFFFFF"/>
      <w:lang w:eastAsia="en-US" w:bidi="en-US"/>
    </w:rPr>
  </w:style>
  <w:style w:type="character" w:customStyle="1" w:styleId="113">
    <w:name w:val="HTML 预设格式 Char"/>
    <w:link w:val="37"/>
    <w:autoRedefine/>
    <w:qFormat/>
    <w:uiPriority w:val="0"/>
    <w:rPr>
      <w:rFonts w:ascii="Courier New" w:hAnsi="Courier New" w:cs="Courier New"/>
      <w:kern w:val="2"/>
    </w:rPr>
  </w:style>
  <w:style w:type="character" w:customStyle="1" w:styleId="114">
    <w:name w:val="正文首行缩进 Char"/>
    <w:link w:val="41"/>
    <w:autoRedefine/>
    <w:qFormat/>
    <w:uiPriority w:val="0"/>
    <w:rPr>
      <w:kern w:val="2"/>
      <w:sz w:val="21"/>
      <w:szCs w:val="24"/>
    </w:rPr>
  </w:style>
  <w:style w:type="character" w:customStyle="1" w:styleId="115">
    <w:name w:val="正文文本 Char"/>
    <w:basedOn w:val="44"/>
    <w:link w:val="17"/>
    <w:autoRedefine/>
    <w:qFormat/>
    <w:uiPriority w:val="0"/>
    <w:rPr>
      <w:kern w:val="2"/>
      <w:sz w:val="21"/>
      <w:szCs w:val="24"/>
    </w:rPr>
  </w:style>
  <w:style w:type="character" w:customStyle="1" w:styleId="116">
    <w:name w:val="ca-12"/>
    <w:autoRedefine/>
    <w:qFormat/>
    <w:uiPriority w:val="0"/>
    <w:rPr>
      <w:rFonts w:eastAsia="宋体" w:cs="Times New Roman"/>
      <w:kern w:val="2"/>
      <w:sz w:val="24"/>
      <w:szCs w:val="24"/>
      <w:lang w:val="en-US" w:eastAsia="zh-CN" w:bidi="ar-SA"/>
    </w:rPr>
  </w:style>
  <w:style w:type="character" w:customStyle="1" w:styleId="117">
    <w:name w:val="Heading #1|1_"/>
    <w:link w:val="55"/>
    <w:autoRedefine/>
    <w:qFormat/>
    <w:uiPriority w:val="0"/>
    <w:rPr>
      <w:rFonts w:ascii="PMingLiU" w:hAnsi="PMingLiU" w:eastAsia="PMingLiU" w:cs="PMingLiU"/>
      <w:kern w:val="2"/>
      <w:sz w:val="30"/>
      <w:szCs w:val="30"/>
      <w:shd w:val="clear" w:color="auto" w:fill="FFFFFF"/>
      <w:lang w:eastAsia="en-US" w:bidi="en-US"/>
    </w:rPr>
  </w:style>
  <w:style w:type="character" w:customStyle="1" w:styleId="118">
    <w:name w:val="Body text|2 + Spacing 3 pt"/>
    <w:autoRedefine/>
    <w:unhideWhenUsed/>
    <w:qFormat/>
    <w:uiPriority w:val="0"/>
    <w:rPr>
      <w:rFonts w:ascii="PMingLiU" w:hAnsi="PMingLiU" w:eastAsia="PMingLiU" w:cs="PMingLiU"/>
      <w:color w:val="000000"/>
      <w:spacing w:val="70"/>
      <w:w w:val="100"/>
      <w:kern w:val="2"/>
      <w:position w:val="0"/>
      <w:shd w:val="clear" w:color="auto" w:fill="FFFFFF"/>
      <w:lang w:val="en-US" w:eastAsia="en-US" w:bidi="en-US"/>
    </w:rPr>
  </w:style>
  <w:style w:type="character" w:customStyle="1" w:styleId="119">
    <w:name w:val="f Char"/>
    <w:autoRedefine/>
    <w:qFormat/>
    <w:uiPriority w:val="0"/>
    <w:rPr>
      <w:rFonts w:eastAsia="宋体"/>
      <w:kern w:val="2"/>
      <w:sz w:val="18"/>
      <w:lang w:val="en-US" w:eastAsia="zh-CN" w:bidi="ar-SA"/>
    </w:rPr>
  </w:style>
  <w:style w:type="character" w:customStyle="1" w:styleId="120">
    <w:name w:val="正文文本缩进 Char"/>
    <w:link w:val="18"/>
    <w:autoRedefine/>
    <w:qFormat/>
    <w:locked/>
    <w:uiPriority w:val="0"/>
    <w:rPr>
      <w:rFonts w:ascii="仿宋_GB2312" w:eastAsia="仿宋_GB2312"/>
      <w:kern w:val="2"/>
      <w:sz w:val="32"/>
    </w:rPr>
  </w:style>
  <w:style w:type="character" w:customStyle="1" w:styleId="121">
    <w:name w:val="列题 Char"/>
    <w:link w:val="56"/>
    <w:autoRedefine/>
    <w:qFormat/>
    <w:uiPriority w:val="0"/>
    <w:rPr>
      <w:rFonts w:ascii="Calibri" w:hAnsi="Calibri" w:eastAsia="仿宋"/>
      <w:b/>
      <w:kern w:val="2"/>
      <w:sz w:val="28"/>
      <w:szCs w:val="22"/>
    </w:rPr>
  </w:style>
  <w:style w:type="character" w:customStyle="1" w:styleId="122">
    <w:name w:val="正文文本 3 Char"/>
    <w:link w:val="16"/>
    <w:autoRedefine/>
    <w:qFormat/>
    <w:uiPriority w:val="0"/>
    <w:rPr>
      <w:kern w:val="2"/>
      <w:sz w:val="16"/>
      <w:szCs w:val="16"/>
    </w:rPr>
  </w:style>
  <w:style w:type="character" w:customStyle="1" w:styleId="123">
    <w:name w:val="Heading #1|1 + 13 pt"/>
    <w:autoRedefine/>
    <w:unhideWhenUsed/>
    <w:qFormat/>
    <w:uiPriority w:val="0"/>
    <w:rPr>
      <w:rFonts w:ascii="PMingLiU" w:hAnsi="PMingLiU" w:eastAsia="PMingLiU" w:cs="PMingLiU"/>
      <w:b/>
      <w:bCs/>
      <w:color w:val="000000"/>
      <w:spacing w:val="0"/>
      <w:w w:val="100"/>
      <w:kern w:val="2"/>
      <w:position w:val="0"/>
      <w:sz w:val="26"/>
      <w:szCs w:val="26"/>
      <w:shd w:val="clear" w:color="auto" w:fill="FFFFFF"/>
      <w:lang w:eastAsia="en-US" w:bidi="en-US"/>
    </w:rPr>
  </w:style>
  <w:style w:type="character" w:customStyle="1" w:styleId="124">
    <w:name w:val="font31"/>
    <w:autoRedefine/>
    <w:qFormat/>
    <w:uiPriority w:val="0"/>
    <w:rPr>
      <w:rFonts w:hint="eastAsia" w:ascii="宋体" w:hAnsi="宋体" w:eastAsia="宋体" w:cs="宋体"/>
      <w:color w:val="000000"/>
      <w:sz w:val="20"/>
      <w:szCs w:val="20"/>
      <w:u w:val="none"/>
    </w:rPr>
  </w:style>
  <w:style w:type="character" w:customStyle="1" w:styleId="125">
    <w:name w:val="font11"/>
    <w:autoRedefine/>
    <w:qFormat/>
    <w:uiPriority w:val="0"/>
    <w:rPr>
      <w:rFonts w:hint="eastAsia" w:ascii="宋体" w:hAnsi="宋体" w:eastAsia="宋体" w:cs="宋体"/>
      <w:color w:val="000000"/>
      <w:sz w:val="20"/>
      <w:szCs w:val="20"/>
      <w:u w:val="none"/>
      <w:vertAlign w:val="superscript"/>
    </w:rPr>
  </w:style>
  <w:style w:type="character" w:customStyle="1" w:styleId="126">
    <w:name w:val="纯文本 Char1"/>
    <w:qFormat/>
    <w:uiPriority w:val="0"/>
    <w:rPr>
      <w:rFonts w:ascii="宋体" w:hAnsi="Courier New" w:eastAsia="仿宋_GB2312"/>
      <w:kern w:val="2"/>
      <w:sz w:val="30"/>
      <w:lang w:val="en-US" w:eastAsia="zh-CN" w:bidi="ar-SA"/>
    </w:rPr>
  </w:style>
  <w:style w:type="character" w:customStyle="1" w:styleId="127">
    <w:name w:val="HTML 预设格式 Char1"/>
    <w:basedOn w:val="44"/>
    <w:link w:val="37"/>
    <w:semiHidden/>
    <w:qFormat/>
    <w:uiPriority w:val="0"/>
    <w:rPr>
      <w:rFonts w:ascii="Courier New" w:hAnsi="Courier New" w:cs="Courier New"/>
      <w:kern w:val="2"/>
    </w:rPr>
  </w:style>
  <w:style w:type="character" w:customStyle="1" w:styleId="128">
    <w:name w:val="正文首行缩进 Char1"/>
    <w:basedOn w:val="115"/>
    <w:link w:val="41"/>
    <w:semiHidden/>
    <w:qFormat/>
    <w:uiPriority w:val="0"/>
  </w:style>
  <w:style w:type="character" w:customStyle="1" w:styleId="129">
    <w:name w:val="批注主题 Char1"/>
    <w:basedOn w:val="94"/>
    <w:link w:val="40"/>
    <w:autoRedefine/>
    <w:semiHidden/>
    <w:qFormat/>
    <w:uiPriority w:val="0"/>
    <w:rPr>
      <w:b/>
      <w:bCs/>
      <w:kern w:val="2"/>
      <w:sz w:val="21"/>
    </w:rPr>
  </w:style>
  <w:style w:type="character" w:customStyle="1" w:styleId="130">
    <w:name w:val="正文文本缩进 3 Char1"/>
    <w:basedOn w:val="44"/>
    <w:link w:val="34"/>
    <w:semiHidden/>
    <w:qFormat/>
    <w:uiPriority w:val="0"/>
    <w:rPr>
      <w:kern w:val="2"/>
      <w:sz w:val="16"/>
      <w:szCs w:val="16"/>
    </w:rPr>
  </w:style>
  <w:style w:type="character" w:customStyle="1" w:styleId="131">
    <w:name w:val="日期 Char1"/>
    <w:basedOn w:val="44"/>
    <w:link w:val="24"/>
    <w:semiHidden/>
    <w:qFormat/>
    <w:uiPriority w:val="0"/>
    <w:rPr>
      <w:kern w:val="2"/>
      <w:sz w:val="21"/>
      <w:szCs w:val="24"/>
    </w:rPr>
  </w:style>
  <w:style w:type="character" w:customStyle="1" w:styleId="132">
    <w:name w:val="正文文本 3 Char1"/>
    <w:basedOn w:val="44"/>
    <w:link w:val="16"/>
    <w:semiHidden/>
    <w:qFormat/>
    <w:uiPriority w:val="0"/>
    <w:rPr>
      <w:kern w:val="2"/>
      <w:sz w:val="16"/>
      <w:szCs w:val="16"/>
    </w:rPr>
  </w:style>
  <w:style w:type="character" w:customStyle="1" w:styleId="133">
    <w:name w:val="正文文本缩进 2 Char1"/>
    <w:basedOn w:val="44"/>
    <w:link w:val="25"/>
    <w:autoRedefine/>
    <w:semiHidden/>
    <w:qFormat/>
    <w:uiPriority w:val="0"/>
    <w:rPr>
      <w:kern w:val="2"/>
      <w:sz w:val="21"/>
      <w:szCs w:val="24"/>
    </w:rPr>
  </w:style>
  <w:style w:type="character" w:customStyle="1" w:styleId="134">
    <w:name w:val="正文文本缩进 Char1"/>
    <w:basedOn w:val="44"/>
    <w:link w:val="18"/>
    <w:semiHidden/>
    <w:qFormat/>
    <w:uiPriority w:val="0"/>
    <w:rPr>
      <w:kern w:val="2"/>
      <w:sz w:val="21"/>
      <w:szCs w:val="24"/>
    </w:rPr>
  </w:style>
  <w:style w:type="character" w:customStyle="1" w:styleId="135">
    <w:name w:val="标题 Char1"/>
    <w:basedOn w:val="44"/>
    <w:link w:val="39"/>
    <w:qFormat/>
    <w:uiPriority w:val="10"/>
    <w:rPr>
      <w:rFonts w:ascii="Cambria" w:hAnsi="Cambria" w:cs="黑体"/>
      <w:b/>
      <w:bCs/>
      <w:kern w:val="2"/>
      <w:sz w:val="32"/>
      <w:szCs w:val="32"/>
    </w:rPr>
  </w:style>
  <w:style w:type="character" w:customStyle="1" w:styleId="136">
    <w:name w:val="标题 5 Char"/>
    <w:basedOn w:val="44"/>
    <w:link w:val="7"/>
    <w:qFormat/>
    <w:uiPriority w:val="0"/>
    <w:rPr>
      <w:b/>
      <w:bCs/>
      <w:sz w:val="28"/>
      <w:szCs w:val="28"/>
    </w:rPr>
  </w:style>
  <w:style w:type="character" w:customStyle="1" w:styleId="137">
    <w:name w:val="标题 7 Char"/>
    <w:basedOn w:val="44"/>
    <w:link w:val="9"/>
    <w:autoRedefine/>
    <w:qFormat/>
    <w:uiPriority w:val="0"/>
    <w:rPr>
      <w:b/>
      <w:bCs/>
      <w:sz w:val="24"/>
      <w:szCs w:val="24"/>
    </w:rPr>
  </w:style>
  <w:style w:type="character" w:customStyle="1" w:styleId="138">
    <w:name w:val="标题 8 Char"/>
    <w:basedOn w:val="44"/>
    <w:link w:val="10"/>
    <w:qFormat/>
    <w:uiPriority w:val="0"/>
    <w:rPr>
      <w:rFonts w:ascii="Arial" w:hAnsi="Arial" w:eastAsia="黑体"/>
      <w:sz w:val="24"/>
      <w:szCs w:val="24"/>
    </w:rPr>
  </w:style>
  <w:style w:type="character" w:customStyle="1" w:styleId="139">
    <w:name w:val="标题 9 Char"/>
    <w:basedOn w:val="44"/>
    <w:link w:val="11"/>
    <w:qFormat/>
    <w:uiPriority w:val="0"/>
    <w:rPr>
      <w:rFonts w:ascii="Arial" w:hAnsi="Arial" w:eastAsia="黑体"/>
      <w:sz w:val="21"/>
      <w:szCs w:val="21"/>
    </w:rPr>
  </w:style>
  <w:style w:type="character" w:customStyle="1" w:styleId="140">
    <w:name w:val="文档结构图 Char"/>
    <w:basedOn w:val="44"/>
    <w:link w:val="14"/>
    <w:autoRedefine/>
    <w:qFormat/>
    <w:uiPriority w:val="0"/>
    <w:rPr>
      <w:kern w:val="2"/>
      <w:sz w:val="21"/>
      <w:shd w:val="clear" w:color="auto" w:fill="000080"/>
    </w:rPr>
  </w:style>
  <w:style w:type="character" w:customStyle="1" w:styleId="141">
    <w:name w:val="f141"/>
    <w:qFormat/>
    <w:uiPriority w:val="0"/>
    <w:rPr>
      <w:sz w:val="21"/>
      <w:szCs w:val="21"/>
    </w:rPr>
  </w:style>
  <w:style w:type="character" w:customStyle="1" w:styleId="142">
    <w:name w:val="p141"/>
    <w:autoRedefine/>
    <w:qFormat/>
    <w:uiPriority w:val="0"/>
    <w:rPr>
      <w:sz w:val="21"/>
      <w:szCs w:val="21"/>
    </w:rPr>
  </w:style>
  <w:style w:type="paragraph" w:customStyle="1" w:styleId="143">
    <w:name w:val="_Style 33"/>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4">
    <w:name w:val="s10pv000000"/>
    <w:basedOn w:val="44"/>
    <w:autoRedefine/>
    <w:qFormat/>
    <w:uiPriority w:val="0"/>
  </w:style>
  <w:style w:type="character" w:customStyle="1" w:styleId="145">
    <w:name w:val="纯文本 字符"/>
    <w:qFormat/>
    <w:uiPriority w:val="0"/>
    <w:rPr>
      <w:rFonts w:ascii="宋体" w:hAnsi="Courier New" w:cs="Courier New"/>
      <w:szCs w:val="21"/>
    </w:rPr>
  </w:style>
  <w:style w:type="character" w:customStyle="1" w:styleId="146">
    <w:name w:val="批注文字 Char2"/>
    <w:autoRedefine/>
    <w:qFormat/>
    <w:uiPriority w:val="0"/>
    <w:rPr>
      <w:szCs w:val="24"/>
    </w:rPr>
  </w:style>
  <w:style w:type="paragraph" w:customStyle="1" w:styleId="147">
    <w:name w:val="样式 标题 4 + 段前: 5 磅 段后: 5 磅 行距: 单倍行距"/>
    <w:basedOn w:val="6"/>
    <w:autoRedefine/>
    <w:qFormat/>
    <w:uiPriority w:val="0"/>
    <w:pPr>
      <w:tabs>
        <w:tab w:val="left" w:pos="1680"/>
      </w:tabs>
      <w:adjustRightInd w:val="0"/>
      <w:spacing w:before="100" w:after="100" w:line="240" w:lineRule="auto"/>
      <w:ind w:left="1680" w:hanging="420"/>
      <w:jc w:val="left"/>
      <w:textAlignment w:val="baseline"/>
    </w:pPr>
    <w:rPr>
      <w:bCs w:val="0"/>
      <w:kern w:val="0"/>
      <w:szCs w:val="20"/>
    </w:rPr>
  </w:style>
  <w:style w:type="paragraph" w:customStyle="1" w:styleId="148">
    <w:name w:val="基准标题"/>
    <w:basedOn w:val="17"/>
    <w:next w:val="17"/>
    <w:qFormat/>
    <w:uiPriority w:val="0"/>
    <w:pPr>
      <w:keepNext/>
      <w:keepLines/>
      <w:widowControl/>
      <w:spacing w:after="0" w:line="240" w:lineRule="atLeast"/>
      <w:jc w:val="left"/>
    </w:pPr>
    <w:rPr>
      <w:rFonts w:ascii="Garamond" w:hAnsi="Garamond"/>
      <w:kern w:val="20"/>
      <w:sz w:val="22"/>
      <w:szCs w:val="20"/>
      <w:lang w:bidi="he-IL"/>
    </w:rPr>
  </w:style>
  <w:style w:type="paragraph" w:customStyle="1" w:styleId="149">
    <w:name w:val="表格"/>
    <w:basedOn w:val="1"/>
    <w:qFormat/>
    <w:uiPriority w:val="0"/>
    <w:pPr>
      <w:spacing w:line="420" w:lineRule="exact"/>
      <w:ind w:left="84" w:leftChars="40"/>
      <w:jc w:val="center"/>
    </w:pPr>
    <w:rPr>
      <w:rFonts w:ascii="宋体" w:hAnsi="宋体"/>
      <w:bCs/>
      <w:spacing w:val="-12"/>
    </w:rPr>
  </w:style>
  <w:style w:type="paragraph" w:customStyle="1" w:styleId="150">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51">
    <w:name w:val="样式4"/>
    <w:basedOn w:val="1"/>
    <w:autoRedefine/>
    <w:qFormat/>
    <w:uiPriority w:val="0"/>
    <w:pPr>
      <w:tabs>
        <w:tab w:val="left" w:pos="2328"/>
      </w:tabs>
      <w:ind w:left="2328" w:hanging="708"/>
    </w:pPr>
  </w:style>
  <w:style w:type="paragraph" w:customStyle="1" w:styleId="15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53">
    <w:name w:val="3 Char"/>
    <w:basedOn w:val="1"/>
    <w:autoRedefine/>
    <w:qFormat/>
    <w:uiPriority w:val="0"/>
    <w:pPr>
      <w:widowControl/>
      <w:spacing w:line="400" w:lineRule="exact"/>
      <w:jc w:val="center"/>
    </w:pPr>
    <w:rPr>
      <w:rFonts w:ascii="Verdana" w:hAnsi="Verdana"/>
      <w:kern w:val="0"/>
      <w:szCs w:val="20"/>
      <w:lang w:eastAsia="en-US"/>
    </w:rPr>
  </w:style>
  <w:style w:type="paragraph" w:customStyle="1" w:styleId="154">
    <w:name w:val="样式 标题 2 + 宋体 五号 非加粗 黑色"/>
    <w:basedOn w:val="4"/>
    <w:qFormat/>
    <w:uiPriority w:val="0"/>
    <w:pPr>
      <w:tabs>
        <w:tab w:val="left" w:pos="840"/>
      </w:tabs>
      <w:adjustRightInd w:val="0"/>
      <w:spacing w:line="416" w:lineRule="atLeast"/>
      <w:ind w:left="840" w:hanging="420"/>
      <w:jc w:val="left"/>
      <w:textAlignment w:val="baseline"/>
    </w:pPr>
    <w:rPr>
      <w:rFonts w:ascii="宋体" w:hAnsi="宋体" w:eastAsia="宋体"/>
      <w:b w:val="0"/>
      <w:bCs w:val="0"/>
      <w:color w:val="000000"/>
      <w:kern w:val="0"/>
      <w:sz w:val="21"/>
      <w:szCs w:val="20"/>
    </w:rPr>
  </w:style>
  <w:style w:type="paragraph" w:customStyle="1" w:styleId="155">
    <w:name w:val="xl29"/>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156">
    <w:name w:val="设计方案"/>
    <w:basedOn w:val="1"/>
    <w:qFormat/>
    <w:uiPriority w:val="0"/>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157">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59">
    <w:name w:val="样式1"/>
    <w:basedOn w:val="1"/>
    <w:autoRedefine/>
    <w:qFormat/>
    <w:uiPriority w:val="0"/>
    <w:pPr>
      <w:tabs>
        <w:tab w:val="left" w:pos="425"/>
        <w:tab w:val="left" w:pos="709"/>
      </w:tabs>
      <w:adjustRightInd w:val="0"/>
      <w:ind w:left="425" w:hanging="425"/>
      <w:textAlignment w:val="baseline"/>
    </w:pPr>
    <w:rPr>
      <w:rFonts w:ascii="宋体" w:hAnsi="宋体"/>
      <w:kern w:val="0"/>
      <w:szCs w:val="20"/>
    </w:rPr>
  </w:style>
  <w:style w:type="paragraph" w:customStyle="1" w:styleId="160">
    <w:name w:val="head"/>
    <w:basedOn w:val="1"/>
    <w:autoRedefine/>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61">
    <w:name w:val="默认段落字体 Para Char Char Char Char"/>
    <w:basedOn w:val="1"/>
    <w:autoRedefine/>
    <w:qFormat/>
    <w:uiPriority w:val="0"/>
    <w:rPr>
      <w:szCs w:val="20"/>
    </w:rPr>
  </w:style>
  <w:style w:type="paragraph" w:customStyle="1" w:styleId="162">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3">
    <w:name w:val="样式 标题 3h3H3sect1.2.3 + 五号 段前: 6 磅 段后: 6 磅 行距: 单倍行距"/>
    <w:basedOn w:val="5"/>
    <w:autoRedefine/>
    <w:qFormat/>
    <w:uiPriority w:val="0"/>
    <w:pPr>
      <w:tabs>
        <w:tab w:val="left" w:pos="1260"/>
      </w:tabs>
      <w:adjustRightInd w:val="0"/>
      <w:spacing w:before="120" w:after="120" w:line="240" w:lineRule="auto"/>
      <w:ind w:left="1260" w:hanging="420"/>
      <w:jc w:val="left"/>
      <w:textAlignment w:val="baseline"/>
    </w:pPr>
    <w:rPr>
      <w:bCs w:val="0"/>
      <w:kern w:val="0"/>
      <w:sz w:val="21"/>
      <w:szCs w:val="20"/>
    </w:rPr>
  </w:style>
  <w:style w:type="character" w:customStyle="1" w:styleId="164">
    <w:name w:val="批注框文本 Char1"/>
    <w:basedOn w:val="44"/>
    <w:autoRedefine/>
    <w:semiHidden/>
    <w:qFormat/>
    <w:uiPriority w:val="99"/>
    <w:rPr>
      <w:rFonts w:ascii="Times New Roman" w:hAnsi="Times New Roman" w:eastAsia="宋体" w:cs="Times New Roman"/>
      <w:sz w:val="18"/>
      <w:szCs w:val="18"/>
    </w:rPr>
  </w:style>
  <w:style w:type="paragraph" w:customStyle="1" w:styleId="165">
    <w:name w:val="Char1 Char Char Char"/>
    <w:basedOn w:val="1"/>
    <w:qFormat/>
    <w:uiPriority w:val="0"/>
    <w:rPr>
      <w:szCs w:val="20"/>
    </w:rPr>
  </w:style>
  <w:style w:type="paragraph" w:customStyle="1" w:styleId="166">
    <w:name w:val="Char1"/>
    <w:basedOn w:val="1"/>
    <w:qFormat/>
    <w:uiPriority w:val="0"/>
    <w:pPr>
      <w:widowControl/>
      <w:spacing w:after="160" w:line="240" w:lineRule="exact"/>
      <w:jc w:val="left"/>
    </w:pPr>
    <w:rPr>
      <w:sz w:val="24"/>
    </w:rPr>
  </w:style>
  <w:style w:type="paragraph" w:customStyle="1" w:styleId="167">
    <w:name w:val="Char1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8">
    <w:name w:val="TOC 标题1"/>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69">
    <w:name w:val="普通(网站)1"/>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170">
    <w:name w:val="Char2"/>
    <w:basedOn w:val="1"/>
    <w:autoRedefine/>
    <w:qFormat/>
    <w:uiPriority w:val="0"/>
    <w:pPr>
      <w:widowControl/>
      <w:spacing w:after="160" w:line="240" w:lineRule="exact"/>
      <w:jc w:val="left"/>
    </w:pPr>
    <w:rPr>
      <w:szCs w:val="20"/>
    </w:rPr>
  </w:style>
  <w:style w:type="paragraph" w:customStyle="1" w:styleId="171">
    <w:name w:val="a"/>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72">
    <w:name w:val="明显参考1"/>
    <w:autoRedefine/>
    <w:qFormat/>
    <w:uiPriority w:val="32"/>
    <w:rPr>
      <w:b/>
      <w:bCs/>
      <w:smallCaps/>
      <w:color w:val="C0504D"/>
      <w:spacing w:val="5"/>
      <w:u w:val="single"/>
    </w:rPr>
  </w:style>
  <w:style w:type="character" w:customStyle="1" w:styleId="173">
    <w:name w:val="未处理的提及1"/>
    <w:basedOn w:val="44"/>
    <w:unhideWhenUsed/>
    <w:qFormat/>
    <w:uiPriority w:val="99"/>
    <w:rPr>
      <w:color w:val="808080"/>
      <w:shd w:val="clear" w:color="auto" w:fill="E6E6E6"/>
    </w:rPr>
  </w:style>
  <w:style w:type="paragraph" w:customStyle="1" w:styleId="174">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BC01F-47DF-4A51-8986-9E95A86955E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3997</Words>
  <Characters>4346</Characters>
  <Lines>38</Lines>
  <Paragraphs>10</Paragraphs>
  <TotalTime>15</TotalTime>
  <ScaleCrop>false</ScaleCrop>
  <LinksUpToDate>false</LinksUpToDate>
  <CharactersWithSpaces>4348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2020-12-15T03:20:00Z</dcterms:created>
  <dc:creator>sdyy</dc:creator>
  <cp:lastModifiedBy>Limbo</cp:lastModifiedBy>
  <cp:lastPrinted>2020-12-03T01:58:00Z</cp:lastPrinted>
  <dcterms:modified xsi:type="dcterms:W3CDTF">2025-12-09T09:06:58Z</dcterms:modified>
  <dc:title>南方医科大学顺德医院总院车辆协议维修供应商需求书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1A436735ED9249A9B1E61C1C85334871_12</vt:lpwstr>
  </property>
  <property fmtid="{D5CDD505-2E9C-101B-9397-08002B2CF9AE}" pid="4" name="KSOTemplateDocerSaveRecord">
    <vt:lpwstr>eyJoZGlkIjoiZmI3YjQxMThhMGIyYzkxNTY3Yzc4MmU3M2Q1NDFiZWIiLCJ1c2VySWQiOiIyMDA1ODk2MzIifQ==</vt:lpwstr>
  </property>
</Properties>
</file>